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5D3F" w:rsidRDefault="00655D3F" w:rsidP="00DC1309">
      <w:pPr>
        <w:jc w:val="center"/>
        <w:rPr>
          <w:b/>
          <w:u w:val="single"/>
        </w:rPr>
      </w:pPr>
      <w:r>
        <w:rPr>
          <w:b/>
          <w:u w:val="single"/>
        </w:rPr>
        <w:t>DIRECCIÓN DE GESTIÓN DE CALIDAD AMBIENTAL</w:t>
      </w:r>
      <w:r w:rsidR="008D1940">
        <w:rPr>
          <w:b/>
          <w:u w:val="single"/>
        </w:rPr>
        <w:t xml:space="preserve"> (DIGECA)</w:t>
      </w:r>
    </w:p>
    <w:p w:rsidR="00655D3F" w:rsidRDefault="00655D3F" w:rsidP="00DC1309">
      <w:pPr>
        <w:jc w:val="center"/>
        <w:rPr>
          <w:b/>
          <w:u w:val="single"/>
        </w:rPr>
      </w:pPr>
      <w:r>
        <w:rPr>
          <w:b/>
          <w:u w:val="single"/>
        </w:rPr>
        <w:t>UNIDAD DE EVALUACIÓN AMBIENTAL DE AGROINSUMOS</w:t>
      </w:r>
      <w:r w:rsidR="008D1940">
        <w:rPr>
          <w:b/>
          <w:u w:val="single"/>
        </w:rPr>
        <w:t xml:space="preserve"> (UEAA)</w:t>
      </w:r>
      <w:bookmarkStart w:id="0" w:name="_GoBack"/>
      <w:bookmarkEnd w:id="0"/>
    </w:p>
    <w:p w:rsidR="00DC1309" w:rsidRPr="000767FC" w:rsidRDefault="00655D3F" w:rsidP="00DC1309">
      <w:pPr>
        <w:jc w:val="center"/>
        <w:rPr>
          <w:b/>
          <w:u w:val="single"/>
        </w:rPr>
      </w:pPr>
      <w:r>
        <w:rPr>
          <w:b/>
          <w:u w:val="single"/>
        </w:rPr>
        <w:t xml:space="preserve">MATRIZ DE </w:t>
      </w:r>
      <w:r w:rsidR="00DC1309" w:rsidRPr="000767FC">
        <w:rPr>
          <w:b/>
          <w:u w:val="single"/>
        </w:rPr>
        <w:t xml:space="preserve">REVISIÓN </w:t>
      </w:r>
      <w:r>
        <w:rPr>
          <w:b/>
          <w:u w:val="single"/>
        </w:rPr>
        <w:t xml:space="preserve">PRELIMINAR </w:t>
      </w:r>
      <w:r w:rsidR="00DC1309" w:rsidRPr="000767FC">
        <w:rPr>
          <w:b/>
          <w:u w:val="single"/>
        </w:rPr>
        <w:t>DE EXPEDIENTE PARA REGISTRO DE PLAGUICIDAS</w:t>
      </w:r>
      <w:r w:rsidR="004608CF">
        <w:rPr>
          <w:b/>
          <w:u w:val="single"/>
        </w:rPr>
        <w:t xml:space="preserve"> </w:t>
      </w:r>
    </w:p>
    <w:p w:rsidR="004608CF" w:rsidRDefault="004608CF" w:rsidP="004608CF">
      <w:pPr>
        <w:spacing w:after="0" w:line="240" w:lineRule="auto"/>
      </w:pPr>
    </w:p>
    <w:p w:rsidR="00A60D8F" w:rsidRPr="00AC1206" w:rsidRDefault="00DC1309" w:rsidP="00DC1309">
      <w:pPr>
        <w:rPr>
          <w:u w:val="single"/>
        </w:rPr>
      </w:pPr>
      <w:r w:rsidRPr="000767FC">
        <w:t xml:space="preserve">EXPEDIENTE NUMERO: </w:t>
      </w:r>
      <w:r w:rsidR="00A60D8F" w:rsidRPr="000767FC">
        <w:t>______________</w:t>
      </w:r>
    </w:p>
    <w:p w:rsidR="00DC1309" w:rsidRPr="000767FC" w:rsidRDefault="00DC1309" w:rsidP="00DC1309">
      <w:r w:rsidRPr="000767FC">
        <w:t>Revisado por: _________________________________</w:t>
      </w:r>
      <w:r w:rsidR="00914B69" w:rsidRPr="000767FC">
        <w:t xml:space="preserve"> (nombre y firma).</w:t>
      </w:r>
    </w:p>
    <w:p w:rsidR="00DC1309" w:rsidRPr="000767FC" w:rsidRDefault="00DC1309" w:rsidP="00DC1309">
      <w:r w:rsidRPr="000767FC">
        <w:t>Fecha de revisión: ______________________________</w:t>
      </w:r>
    </w:p>
    <w:p w:rsidR="00054D28" w:rsidRPr="000767FC" w:rsidRDefault="00047820" w:rsidP="004608CF">
      <w:pPr>
        <w:spacing w:after="0" w:line="240" w:lineRule="auto"/>
      </w:pPr>
      <w:r w:rsidRPr="000767FC">
        <w:rPr>
          <w:b/>
        </w:rPr>
        <w:t>Cuadro</w:t>
      </w:r>
      <w:r w:rsidR="000C5A65" w:rsidRPr="000767FC">
        <w:rPr>
          <w:b/>
        </w:rPr>
        <w:t xml:space="preserve"> 1.</w:t>
      </w:r>
      <w:r w:rsidR="000C5A65" w:rsidRPr="000767FC">
        <w:t xml:space="preserve"> D</w:t>
      </w:r>
      <w:r w:rsidRPr="000767FC">
        <w:t>atos de interés del MINAE</w:t>
      </w:r>
      <w:r w:rsidR="000C5A65" w:rsidRPr="000767FC">
        <w:t xml:space="preserve"> para ingredientes activos</w:t>
      </w:r>
      <w:r w:rsidR="00023491" w:rsidRPr="000767FC">
        <w:t xml:space="preserve"> (en cumplimiento del DE 33495)</w:t>
      </w:r>
    </w:p>
    <w:tbl>
      <w:tblPr>
        <w:tblStyle w:val="Tablaconcuadrcula"/>
        <w:tblW w:w="5000" w:type="pct"/>
        <w:tblLook w:val="04A0" w:firstRow="1" w:lastRow="0" w:firstColumn="1" w:lastColumn="0" w:noHBand="0" w:noVBand="1"/>
      </w:tblPr>
      <w:tblGrid>
        <w:gridCol w:w="3324"/>
        <w:gridCol w:w="2479"/>
        <w:gridCol w:w="909"/>
        <w:gridCol w:w="2332"/>
        <w:gridCol w:w="1634"/>
        <w:gridCol w:w="3990"/>
      </w:tblGrid>
      <w:tr w:rsidR="00122C80" w:rsidRPr="000767FC" w:rsidTr="00655D3F">
        <w:trPr>
          <w:tblHeader/>
        </w:trPr>
        <w:tc>
          <w:tcPr>
            <w:tcW w:w="1133" w:type="pct"/>
            <w:shd w:val="clear" w:color="auto" w:fill="8DB3E2" w:themeFill="text2" w:themeFillTint="66"/>
          </w:tcPr>
          <w:p w:rsidR="00122C80" w:rsidRPr="000767FC" w:rsidRDefault="00054D28" w:rsidP="000767FC">
            <w:pPr>
              <w:jc w:val="center"/>
              <w:rPr>
                <w:b/>
              </w:rPr>
            </w:pPr>
            <w:r w:rsidRPr="000767FC">
              <w:rPr>
                <w:b/>
              </w:rPr>
              <w:t>Requisito</w:t>
            </w:r>
            <w:r w:rsidR="00122C80" w:rsidRPr="000767FC">
              <w:rPr>
                <w:rStyle w:val="Refdenotaalfinal"/>
                <w:b/>
              </w:rPr>
              <w:endnoteReference w:id="1"/>
            </w:r>
          </w:p>
        </w:tc>
        <w:tc>
          <w:tcPr>
            <w:tcW w:w="845" w:type="pct"/>
            <w:shd w:val="clear" w:color="auto" w:fill="8DB3E2" w:themeFill="text2" w:themeFillTint="66"/>
          </w:tcPr>
          <w:p w:rsidR="00122C80" w:rsidRPr="000767FC" w:rsidRDefault="00122C80" w:rsidP="000767FC">
            <w:pPr>
              <w:jc w:val="center"/>
              <w:rPr>
                <w:b/>
              </w:rPr>
            </w:pPr>
            <w:r w:rsidRPr="000767FC">
              <w:rPr>
                <w:b/>
              </w:rPr>
              <w:t>Sustancia</w:t>
            </w:r>
            <w:r w:rsidRPr="000767FC">
              <w:rPr>
                <w:rStyle w:val="Refdenotaalfinal"/>
                <w:b/>
              </w:rPr>
              <w:endnoteReference w:id="2"/>
            </w:r>
          </w:p>
        </w:tc>
        <w:tc>
          <w:tcPr>
            <w:tcW w:w="310" w:type="pct"/>
            <w:shd w:val="clear" w:color="auto" w:fill="8DB3E2" w:themeFill="text2" w:themeFillTint="66"/>
          </w:tcPr>
          <w:p w:rsidR="00122C80" w:rsidRPr="000767FC" w:rsidRDefault="00122C80" w:rsidP="000767FC">
            <w:pPr>
              <w:jc w:val="center"/>
              <w:rPr>
                <w:b/>
              </w:rPr>
            </w:pPr>
            <w:r w:rsidRPr="000767FC">
              <w:rPr>
                <w:b/>
              </w:rPr>
              <w:t>Pureza</w:t>
            </w:r>
            <w:r w:rsidRPr="000767FC">
              <w:rPr>
                <w:rStyle w:val="Refdenotaalfinal"/>
                <w:b/>
              </w:rPr>
              <w:endnoteReference w:id="3"/>
            </w:r>
          </w:p>
        </w:tc>
        <w:tc>
          <w:tcPr>
            <w:tcW w:w="795" w:type="pct"/>
            <w:shd w:val="clear" w:color="auto" w:fill="8DB3E2" w:themeFill="text2" w:themeFillTint="66"/>
          </w:tcPr>
          <w:p w:rsidR="00122C80" w:rsidRPr="000767FC" w:rsidRDefault="00122C80" w:rsidP="000767FC">
            <w:pPr>
              <w:jc w:val="center"/>
              <w:rPr>
                <w:b/>
              </w:rPr>
            </w:pPr>
            <w:r w:rsidRPr="000767FC">
              <w:rPr>
                <w:b/>
              </w:rPr>
              <w:t>Patrocinador</w:t>
            </w:r>
            <w:r w:rsidRPr="000767FC">
              <w:rPr>
                <w:rStyle w:val="Refdenotaalfinal"/>
                <w:b/>
              </w:rPr>
              <w:endnoteReference w:id="4"/>
            </w:r>
          </w:p>
        </w:tc>
        <w:tc>
          <w:tcPr>
            <w:tcW w:w="557" w:type="pct"/>
            <w:shd w:val="clear" w:color="auto" w:fill="8DB3E2" w:themeFill="text2" w:themeFillTint="66"/>
          </w:tcPr>
          <w:p w:rsidR="00122C80" w:rsidRPr="000767FC" w:rsidRDefault="00122C80" w:rsidP="000767FC">
            <w:pPr>
              <w:jc w:val="center"/>
              <w:rPr>
                <w:b/>
              </w:rPr>
            </w:pPr>
            <w:r w:rsidRPr="000767FC">
              <w:rPr>
                <w:b/>
              </w:rPr>
              <w:t>Folios</w:t>
            </w:r>
            <w:r w:rsidRPr="000767FC">
              <w:rPr>
                <w:rStyle w:val="Refdenotaalfinal"/>
                <w:b/>
              </w:rPr>
              <w:endnoteReference w:id="5"/>
            </w:r>
          </w:p>
        </w:tc>
        <w:tc>
          <w:tcPr>
            <w:tcW w:w="1361" w:type="pct"/>
            <w:shd w:val="clear" w:color="auto" w:fill="8DB3E2" w:themeFill="text2" w:themeFillTint="66"/>
          </w:tcPr>
          <w:p w:rsidR="00122C80" w:rsidRPr="000767FC" w:rsidRDefault="007D0042" w:rsidP="000767FC">
            <w:pPr>
              <w:jc w:val="center"/>
              <w:rPr>
                <w:b/>
              </w:rPr>
            </w:pPr>
            <w:r w:rsidRPr="000767FC">
              <w:rPr>
                <w:b/>
              </w:rPr>
              <w:t>Autor. Año. Título del estudio.</w:t>
            </w:r>
            <w:r w:rsidR="00122C80" w:rsidRPr="000767FC">
              <w:rPr>
                <w:b/>
              </w:rPr>
              <w:t xml:space="preserve"> </w:t>
            </w:r>
            <w:r w:rsidRPr="000767FC">
              <w:rPr>
                <w:b/>
              </w:rPr>
              <w:t>#</w:t>
            </w:r>
            <w:r w:rsidR="00122C80" w:rsidRPr="000767FC">
              <w:rPr>
                <w:b/>
              </w:rPr>
              <w:t xml:space="preserve"> reporte</w:t>
            </w:r>
            <w:r w:rsidR="00122C80" w:rsidRPr="000767FC">
              <w:rPr>
                <w:rStyle w:val="Refdenotaalfinal"/>
                <w:b/>
              </w:rPr>
              <w:endnoteReference w:id="6"/>
            </w:r>
          </w:p>
        </w:tc>
      </w:tr>
      <w:tr w:rsidR="00EA0D52" w:rsidRPr="000767FC" w:rsidTr="00EA0D52">
        <w:tc>
          <w:tcPr>
            <w:tcW w:w="5000" w:type="pct"/>
            <w:gridSpan w:val="6"/>
            <w:shd w:val="clear" w:color="auto" w:fill="D9D9D9" w:themeFill="background1" w:themeFillShade="D9"/>
          </w:tcPr>
          <w:p w:rsidR="00EA0D52" w:rsidRPr="000767FC" w:rsidRDefault="00EA0D52" w:rsidP="00672EBB">
            <w:pPr>
              <w:jc w:val="center"/>
            </w:pPr>
            <w:r w:rsidRPr="000767FC">
              <w:t>I</w:t>
            </w:r>
            <w:r w:rsidRPr="000767FC">
              <w:rPr>
                <w:b/>
              </w:rPr>
              <w:t>nformación del legajo administrativo</w:t>
            </w:r>
          </w:p>
        </w:tc>
      </w:tr>
      <w:tr w:rsidR="00122C80" w:rsidRPr="000767FC" w:rsidTr="00156341">
        <w:tc>
          <w:tcPr>
            <w:tcW w:w="1133" w:type="pct"/>
            <w:vAlign w:val="center"/>
          </w:tcPr>
          <w:p w:rsidR="00122C80" w:rsidRPr="000767FC" w:rsidRDefault="003A6B62" w:rsidP="00156341">
            <w:pPr>
              <w:jc w:val="center"/>
            </w:pPr>
            <w:r w:rsidRPr="000767FC">
              <w:t xml:space="preserve">7.2.1 a) </w:t>
            </w:r>
            <w:r w:rsidR="00122C80" w:rsidRPr="000767FC">
              <w:t>Solicitud de registro</w:t>
            </w:r>
          </w:p>
        </w:tc>
        <w:tc>
          <w:tcPr>
            <w:tcW w:w="845" w:type="pct"/>
            <w:vAlign w:val="center"/>
          </w:tcPr>
          <w:p w:rsidR="00122C80" w:rsidRPr="000767FC" w:rsidRDefault="00122C80" w:rsidP="00156341">
            <w:pPr>
              <w:jc w:val="center"/>
            </w:pPr>
          </w:p>
        </w:tc>
        <w:tc>
          <w:tcPr>
            <w:tcW w:w="310" w:type="pct"/>
            <w:vAlign w:val="center"/>
          </w:tcPr>
          <w:p w:rsidR="00122C80" w:rsidRPr="000767FC" w:rsidRDefault="00122C80" w:rsidP="00156341">
            <w:pPr>
              <w:jc w:val="center"/>
            </w:pPr>
            <w:r w:rsidRPr="000767FC">
              <w:t>NA</w:t>
            </w:r>
          </w:p>
        </w:tc>
        <w:tc>
          <w:tcPr>
            <w:tcW w:w="795" w:type="pct"/>
            <w:vAlign w:val="center"/>
          </w:tcPr>
          <w:p w:rsidR="00AC1206" w:rsidRPr="00AC1206" w:rsidRDefault="00AC1206" w:rsidP="00A60D8F">
            <w:pPr>
              <w:jc w:val="center"/>
              <w:rPr>
                <w:lang w:val="en-US"/>
              </w:rPr>
            </w:pPr>
          </w:p>
        </w:tc>
        <w:tc>
          <w:tcPr>
            <w:tcW w:w="557" w:type="pct"/>
            <w:vAlign w:val="center"/>
          </w:tcPr>
          <w:p w:rsidR="00122C80" w:rsidRPr="00AC1206" w:rsidRDefault="00122C80" w:rsidP="00EE0FBC">
            <w:pPr>
              <w:jc w:val="center"/>
              <w:rPr>
                <w:lang w:val="en-US"/>
              </w:rPr>
            </w:pPr>
          </w:p>
        </w:tc>
        <w:tc>
          <w:tcPr>
            <w:tcW w:w="1361" w:type="pct"/>
            <w:vAlign w:val="center"/>
          </w:tcPr>
          <w:p w:rsidR="00122C80" w:rsidRPr="000767FC" w:rsidRDefault="00122C80" w:rsidP="00156341">
            <w:pPr>
              <w:jc w:val="center"/>
            </w:pPr>
            <w:r w:rsidRPr="000767FC">
              <w:t>NA</w:t>
            </w:r>
          </w:p>
        </w:tc>
      </w:tr>
      <w:tr w:rsidR="00122C80" w:rsidRPr="000767FC" w:rsidTr="00B01293">
        <w:tc>
          <w:tcPr>
            <w:tcW w:w="1133" w:type="pct"/>
          </w:tcPr>
          <w:p w:rsidR="00122C80" w:rsidRPr="000767FC" w:rsidRDefault="009257E5" w:rsidP="009257E5">
            <w:r w:rsidRPr="000767FC">
              <w:t xml:space="preserve">7.2.1 b) </w:t>
            </w:r>
            <w:r w:rsidR="00122C80" w:rsidRPr="000767FC">
              <w:t xml:space="preserve">Certificado </w:t>
            </w:r>
            <w:r w:rsidR="00445BAB" w:rsidRPr="000767FC">
              <w:t xml:space="preserve">analítico </w:t>
            </w:r>
            <w:r w:rsidR="00122C80" w:rsidRPr="000767FC">
              <w:t>de composición</w:t>
            </w:r>
          </w:p>
        </w:tc>
        <w:tc>
          <w:tcPr>
            <w:tcW w:w="845" w:type="pct"/>
          </w:tcPr>
          <w:p w:rsidR="00122C80" w:rsidRPr="000767FC" w:rsidRDefault="00122C80"/>
        </w:tc>
        <w:tc>
          <w:tcPr>
            <w:tcW w:w="310" w:type="pct"/>
          </w:tcPr>
          <w:p w:rsidR="00122C80" w:rsidRPr="000767FC" w:rsidRDefault="00122C80" w:rsidP="004608CF">
            <w:pPr>
              <w:jc w:val="center"/>
            </w:pPr>
          </w:p>
        </w:tc>
        <w:tc>
          <w:tcPr>
            <w:tcW w:w="795" w:type="pct"/>
          </w:tcPr>
          <w:p w:rsidR="00122C80" w:rsidRPr="000767FC" w:rsidRDefault="00122C80" w:rsidP="004608CF">
            <w:pPr>
              <w:jc w:val="center"/>
            </w:pPr>
          </w:p>
        </w:tc>
        <w:tc>
          <w:tcPr>
            <w:tcW w:w="557" w:type="pct"/>
          </w:tcPr>
          <w:p w:rsidR="00122C80" w:rsidRPr="000767FC" w:rsidRDefault="00122C80" w:rsidP="004608CF">
            <w:pPr>
              <w:jc w:val="center"/>
            </w:pPr>
          </w:p>
        </w:tc>
        <w:tc>
          <w:tcPr>
            <w:tcW w:w="1361" w:type="pct"/>
          </w:tcPr>
          <w:p w:rsidR="00122C80" w:rsidRPr="000767FC" w:rsidRDefault="00122C80" w:rsidP="004608CF">
            <w:pPr>
              <w:jc w:val="center"/>
            </w:pPr>
            <w:r w:rsidRPr="000767FC">
              <w:t>NA</w:t>
            </w:r>
          </w:p>
        </w:tc>
      </w:tr>
      <w:tr w:rsidR="00122C80" w:rsidRPr="000767FC" w:rsidTr="00B01293">
        <w:tc>
          <w:tcPr>
            <w:tcW w:w="1133" w:type="pct"/>
          </w:tcPr>
          <w:p w:rsidR="00122C80" w:rsidRPr="000767FC" w:rsidRDefault="009257E5">
            <w:r w:rsidRPr="000767FC">
              <w:t>7.2.1 g)</w:t>
            </w:r>
            <w:r w:rsidR="00E671D6">
              <w:t xml:space="preserve"> </w:t>
            </w:r>
            <w:r w:rsidR="00122C80" w:rsidRPr="000767FC">
              <w:t>Hoja de seguridad</w:t>
            </w:r>
          </w:p>
        </w:tc>
        <w:tc>
          <w:tcPr>
            <w:tcW w:w="845" w:type="pct"/>
          </w:tcPr>
          <w:p w:rsidR="00122C80" w:rsidRPr="000767FC" w:rsidRDefault="00122C80"/>
        </w:tc>
        <w:tc>
          <w:tcPr>
            <w:tcW w:w="310" w:type="pct"/>
          </w:tcPr>
          <w:p w:rsidR="00122C80" w:rsidRPr="000767FC" w:rsidRDefault="00122C80" w:rsidP="004608CF">
            <w:pPr>
              <w:jc w:val="center"/>
            </w:pPr>
          </w:p>
        </w:tc>
        <w:tc>
          <w:tcPr>
            <w:tcW w:w="795" w:type="pct"/>
          </w:tcPr>
          <w:p w:rsidR="00122C80" w:rsidRPr="000767FC" w:rsidRDefault="00122C80" w:rsidP="004608CF">
            <w:pPr>
              <w:jc w:val="center"/>
            </w:pPr>
          </w:p>
        </w:tc>
        <w:tc>
          <w:tcPr>
            <w:tcW w:w="557" w:type="pct"/>
          </w:tcPr>
          <w:p w:rsidR="00122C80" w:rsidRPr="000767FC" w:rsidRDefault="00122C80" w:rsidP="004608CF">
            <w:pPr>
              <w:jc w:val="center"/>
            </w:pPr>
          </w:p>
        </w:tc>
        <w:tc>
          <w:tcPr>
            <w:tcW w:w="1361" w:type="pct"/>
          </w:tcPr>
          <w:p w:rsidR="00122C80" w:rsidRPr="000767FC" w:rsidRDefault="00122C80" w:rsidP="004608CF">
            <w:pPr>
              <w:jc w:val="center"/>
            </w:pPr>
            <w:r w:rsidRPr="000767FC">
              <w:t>NA</w:t>
            </w:r>
          </w:p>
        </w:tc>
      </w:tr>
      <w:tr w:rsidR="00122C80" w:rsidRPr="000767FC" w:rsidTr="00B01293">
        <w:tc>
          <w:tcPr>
            <w:tcW w:w="1133" w:type="pct"/>
          </w:tcPr>
          <w:p w:rsidR="00122C80" w:rsidRPr="000767FC" w:rsidRDefault="009257E5">
            <w:r w:rsidRPr="000767FC">
              <w:t>7.2.1 h)</w:t>
            </w:r>
            <w:r w:rsidR="00E671D6">
              <w:t xml:space="preserve"> </w:t>
            </w:r>
            <w:r w:rsidR="00122C80" w:rsidRPr="000767FC">
              <w:t>Etiqueta</w:t>
            </w:r>
          </w:p>
        </w:tc>
        <w:tc>
          <w:tcPr>
            <w:tcW w:w="845" w:type="pct"/>
          </w:tcPr>
          <w:p w:rsidR="00122C80" w:rsidRPr="000767FC" w:rsidRDefault="00122C80"/>
        </w:tc>
        <w:tc>
          <w:tcPr>
            <w:tcW w:w="310" w:type="pct"/>
          </w:tcPr>
          <w:p w:rsidR="00122C80" w:rsidRPr="000767FC" w:rsidRDefault="00122C80" w:rsidP="004608CF">
            <w:pPr>
              <w:jc w:val="center"/>
            </w:pPr>
          </w:p>
        </w:tc>
        <w:tc>
          <w:tcPr>
            <w:tcW w:w="795" w:type="pct"/>
          </w:tcPr>
          <w:p w:rsidR="00122C80" w:rsidRPr="000767FC" w:rsidRDefault="00122C80" w:rsidP="004608CF">
            <w:pPr>
              <w:jc w:val="center"/>
            </w:pPr>
          </w:p>
        </w:tc>
        <w:tc>
          <w:tcPr>
            <w:tcW w:w="557" w:type="pct"/>
          </w:tcPr>
          <w:p w:rsidR="00122C80" w:rsidRPr="000767FC" w:rsidRDefault="00122C80" w:rsidP="004608CF">
            <w:pPr>
              <w:jc w:val="center"/>
            </w:pPr>
          </w:p>
        </w:tc>
        <w:tc>
          <w:tcPr>
            <w:tcW w:w="1361" w:type="pct"/>
          </w:tcPr>
          <w:p w:rsidR="00122C80" w:rsidRPr="000767FC" w:rsidRDefault="00122C80" w:rsidP="004608CF">
            <w:pPr>
              <w:jc w:val="center"/>
            </w:pPr>
            <w:r w:rsidRPr="000767FC">
              <w:t>NA</w:t>
            </w:r>
          </w:p>
        </w:tc>
      </w:tr>
      <w:tr w:rsidR="00EA0D52" w:rsidRPr="000767FC" w:rsidTr="00EA0D52">
        <w:tc>
          <w:tcPr>
            <w:tcW w:w="5000" w:type="pct"/>
            <w:gridSpan w:val="6"/>
            <w:shd w:val="clear" w:color="auto" w:fill="D9D9D9" w:themeFill="background1" w:themeFillShade="D9"/>
          </w:tcPr>
          <w:p w:rsidR="00EA0D52" w:rsidRPr="000767FC" w:rsidRDefault="00EA0D52" w:rsidP="00672EBB">
            <w:pPr>
              <w:jc w:val="center"/>
              <w:rPr>
                <w:b/>
              </w:rPr>
            </w:pPr>
            <w:r w:rsidRPr="000767FC">
              <w:rPr>
                <w:b/>
              </w:rPr>
              <w:t>Información del legajo técnico</w:t>
            </w:r>
          </w:p>
        </w:tc>
      </w:tr>
      <w:tr w:rsidR="00122C80" w:rsidRPr="000767FC" w:rsidTr="00B01293">
        <w:tc>
          <w:tcPr>
            <w:tcW w:w="1133" w:type="pct"/>
          </w:tcPr>
          <w:p w:rsidR="00122C80" w:rsidRPr="000767FC" w:rsidRDefault="009257E5">
            <w:r w:rsidRPr="000767FC">
              <w:t xml:space="preserve">7.2.1 III a) </w:t>
            </w:r>
            <w:r w:rsidR="00B72482" w:rsidRPr="000767FC">
              <w:t>Identidad del ingrediente activo</w:t>
            </w:r>
            <w:r w:rsidR="00122C80" w:rsidRPr="000767FC">
              <w:t xml:space="preserve"> (legajo técnico</w:t>
            </w:r>
            <w:r w:rsidR="002E3B74" w:rsidRPr="000767FC">
              <w:t xml:space="preserve"> inciso a.</w:t>
            </w:r>
            <w:r w:rsidR="00122C80" w:rsidRPr="000767FC">
              <w:t>)</w:t>
            </w:r>
          </w:p>
        </w:tc>
        <w:tc>
          <w:tcPr>
            <w:tcW w:w="845" w:type="pct"/>
          </w:tcPr>
          <w:p w:rsidR="00122C80" w:rsidRPr="000767FC" w:rsidRDefault="00122C80"/>
        </w:tc>
        <w:tc>
          <w:tcPr>
            <w:tcW w:w="310" w:type="pct"/>
          </w:tcPr>
          <w:p w:rsidR="00122C80" w:rsidRPr="000767FC" w:rsidRDefault="00EA0D52" w:rsidP="004608CF">
            <w:pPr>
              <w:jc w:val="center"/>
            </w:pPr>
            <w:r w:rsidRPr="000767FC">
              <w:t>NA</w:t>
            </w:r>
          </w:p>
        </w:tc>
        <w:tc>
          <w:tcPr>
            <w:tcW w:w="795" w:type="pct"/>
          </w:tcPr>
          <w:p w:rsidR="00122C80" w:rsidRPr="000767FC" w:rsidRDefault="00122C80"/>
        </w:tc>
        <w:tc>
          <w:tcPr>
            <w:tcW w:w="557" w:type="pct"/>
          </w:tcPr>
          <w:p w:rsidR="00122C80" w:rsidRPr="000767FC" w:rsidRDefault="00122C80"/>
        </w:tc>
        <w:tc>
          <w:tcPr>
            <w:tcW w:w="1361" w:type="pct"/>
          </w:tcPr>
          <w:p w:rsidR="00122C80" w:rsidRPr="000767FC" w:rsidRDefault="00122C80" w:rsidP="00672EBB">
            <w:pPr>
              <w:jc w:val="center"/>
            </w:pPr>
            <w:r w:rsidRPr="000767FC">
              <w:t>NA</w:t>
            </w:r>
          </w:p>
        </w:tc>
      </w:tr>
      <w:tr w:rsidR="00E34AE3" w:rsidRPr="000767FC" w:rsidTr="00E34AE3">
        <w:tc>
          <w:tcPr>
            <w:tcW w:w="5000" w:type="pct"/>
            <w:gridSpan w:val="6"/>
            <w:shd w:val="clear" w:color="auto" w:fill="D9D9D9" w:themeFill="background1" w:themeFillShade="D9"/>
          </w:tcPr>
          <w:p w:rsidR="00E34AE3" w:rsidRPr="000767FC" w:rsidRDefault="009257E5" w:rsidP="009257E5">
            <w:r w:rsidRPr="000767FC">
              <w:t xml:space="preserve">7.2.1 III d.5.1 </w:t>
            </w:r>
            <w:r w:rsidR="00E34AE3" w:rsidRPr="000767FC">
              <w:t>Efectos sobre aves</w:t>
            </w:r>
          </w:p>
        </w:tc>
      </w:tr>
      <w:tr w:rsidR="00122C80" w:rsidRPr="000767FC" w:rsidTr="00B01293">
        <w:tc>
          <w:tcPr>
            <w:tcW w:w="1133" w:type="pct"/>
          </w:tcPr>
          <w:p w:rsidR="00122C80" w:rsidRPr="000767FC" w:rsidRDefault="009257E5">
            <w:r w:rsidRPr="000767FC">
              <w:t xml:space="preserve">d.5.1.1 </w:t>
            </w:r>
            <w:r w:rsidR="00122C80" w:rsidRPr="000767FC">
              <w:t xml:space="preserve">Toxicidad </w:t>
            </w:r>
            <w:r w:rsidR="00B72482" w:rsidRPr="000767FC">
              <w:t xml:space="preserve">oral </w:t>
            </w:r>
            <w:r w:rsidR="00122C80" w:rsidRPr="000767FC">
              <w:t>aguda en aves</w:t>
            </w:r>
          </w:p>
        </w:tc>
        <w:tc>
          <w:tcPr>
            <w:tcW w:w="845" w:type="pct"/>
          </w:tcPr>
          <w:p w:rsidR="00122C80" w:rsidRPr="000767FC" w:rsidRDefault="00122C80"/>
        </w:tc>
        <w:tc>
          <w:tcPr>
            <w:tcW w:w="310" w:type="pct"/>
          </w:tcPr>
          <w:p w:rsidR="00122C80" w:rsidRPr="000767FC" w:rsidRDefault="00122C80"/>
        </w:tc>
        <w:tc>
          <w:tcPr>
            <w:tcW w:w="795" w:type="pct"/>
          </w:tcPr>
          <w:p w:rsidR="00122C80" w:rsidRPr="000767FC" w:rsidRDefault="00122C80"/>
        </w:tc>
        <w:tc>
          <w:tcPr>
            <w:tcW w:w="557" w:type="pct"/>
          </w:tcPr>
          <w:p w:rsidR="00122C80" w:rsidRPr="000767FC" w:rsidRDefault="00122C80"/>
        </w:tc>
        <w:tc>
          <w:tcPr>
            <w:tcW w:w="1361" w:type="pct"/>
          </w:tcPr>
          <w:p w:rsidR="00122C80" w:rsidRPr="000767FC" w:rsidRDefault="00122C80" w:rsidP="00C578EE"/>
        </w:tc>
      </w:tr>
      <w:tr w:rsidR="00122C80" w:rsidRPr="004A503E" w:rsidTr="00B01293">
        <w:tc>
          <w:tcPr>
            <w:tcW w:w="1133" w:type="pct"/>
          </w:tcPr>
          <w:p w:rsidR="00122C80" w:rsidRPr="000767FC" w:rsidRDefault="009257E5">
            <w:r w:rsidRPr="000767FC">
              <w:t xml:space="preserve">d.5.1.1 </w:t>
            </w:r>
            <w:r w:rsidR="00122C80" w:rsidRPr="000767FC">
              <w:t>Efectos a corto plazo en aves</w:t>
            </w:r>
            <w:r w:rsidR="000D04D8" w:rsidRPr="00297EE3">
              <w:rPr>
                <w:rStyle w:val="Refdenotaalfinal"/>
                <w:b/>
              </w:rPr>
              <w:endnoteReference w:id="7"/>
            </w:r>
          </w:p>
        </w:tc>
        <w:tc>
          <w:tcPr>
            <w:tcW w:w="845" w:type="pct"/>
          </w:tcPr>
          <w:p w:rsidR="00122C80" w:rsidRPr="000767FC" w:rsidRDefault="00122C80"/>
        </w:tc>
        <w:tc>
          <w:tcPr>
            <w:tcW w:w="310" w:type="pct"/>
          </w:tcPr>
          <w:p w:rsidR="00122C80" w:rsidRPr="000767FC" w:rsidRDefault="00122C80"/>
        </w:tc>
        <w:tc>
          <w:tcPr>
            <w:tcW w:w="795" w:type="pct"/>
          </w:tcPr>
          <w:p w:rsidR="00122C80" w:rsidRPr="008D6BCF" w:rsidRDefault="00122C80">
            <w:pPr>
              <w:rPr>
                <w:lang w:val="es-CR"/>
              </w:rPr>
            </w:pPr>
          </w:p>
        </w:tc>
        <w:tc>
          <w:tcPr>
            <w:tcW w:w="557" w:type="pct"/>
          </w:tcPr>
          <w:p w:rsidR="00122C80" w:rsidRPr="008D6BCF" w:rsidRDefault="00122C80" w:rsidP="004A503E">
            <w:pPr>
              <w:rPr>
                <w:lang w:val="es-CR"/>
              </w:rPr>
            </w:pPr>
          </w:p>
        </w:tc>
        <w:tc>
          <w:tcPr>
            <w:tcW w:w="1361" w:type="pct"/>
          </w:tcPr>
          <w:p w:rsidR="00122C80" w:rsidRPr="004A503E" w:rsidRDefault="00122C80" w:rsidP="0048268E">
            <w:pPr>
              <w:rPr>
                <w:lang w:val="es-CR"/>
              </w:rPr>
            </w:pPr>
          </w:p>
        </w:tc>
      </w:tr>
      <w:tr w:rsidR="00122C80" w:rsidRPr="00C55E45" w:rsidTr="00B01293">
        <w:tc>
          <w:tcPr>
            <w:tcW w:w="1133" w:type="pct"/>
          </w:tcPr>
          <w:p w:rsidR="00122C80" w:rsidRPr="000767FC" w:rsidRDefault="009257E5" w:rsidP="009222BD">
            <w:r w:rsidRPr="000767FC">
              <w:t xml:space="preserve">d.5.1.1 </w:t>
            </w:r>
            <w:r w:rsidR="00122C80" w:rsidRPr="000767FC">
              <w:t xml:space="preserve">Efectos </w:t>
            </w:r>
            <w:r w:rsidR="009222BD" w:rsidRPr="000767FC">
              <w:t>en</w:t>
            </w:r>
            <w:r w:rsidR="00122C80" w:rsidRPr="000767FC">
              <w:t xml:space="preserve"> la reproducción en aves</w:t>
            </w:r>
          </w:p>
        </w:tc>
        <w:tc>
          <w:tcPr>
            <w:tcW w:w="845" w:type="pct"/>
          </w:tcPr>
          <w:p w:rsidR="00122C80" w:rsidRPr="000767FC" w:rsidRDefault="00122C80"/>
        </w:tc>
        <w:tc>
          <w:tcPr>
            <w:tcW w:w="310" w:type="pct"/>
          </w:tcPr>
          <w:p w:rsidR="00122C80" w:rsidRPr="000767FC" w:rsidRDefault="00122C80"/>
        </w:tc>
        <w:tc>
          <w:tcPr>
            <w:tcW w:w="795" w:type="pct"/>
          </w:tcPr>
          <w:p w:rsidR="00122C80" w:rsidRPr="008D6BCF" w:rsidRDefault="00122C80">
            <w:pPr>
              <w:rPr>
                <w:lang w:val="es-CR"/>
              </w:rPr>
            </w:pPr>
          </w:p>
        </w:tc>
        <w:tc>
          <w:tcPr>
            <w:tcW w:w="557" w:type="pct"/>
          </w:tcPr>
          <w:p w:rsidR="00122C80" w:rsidRPr="008D6BCF" w:rsidRDefault="00122C80">
            <w:pPr>
              <w:rPr>
                <w:lang w:val="es-CR"/>
              </w:rPr>
            </w:pPr>
          </w:p>
        </w:tc>
        <w:tc>
          <w:tcPr>
            <w:tcW w:w="1361" w:type="pct"/>
          </w:tcPr>
          <w:p w:rsidR="00122C80" w:rsidRPr="00C55E45" w:rsidRDefault="00122C80">
            <w:pPr>
              <w:rPr>
                <w:lang w:val="es-CR"/>
              </w:rPr>
            </w:pPr>
          </w:p>
        </w:tc>
      </w:tr>
      <w:tr w:rsidR="002975D7" w:rsidRPr="000767FC" w:rsidTr="00B01293">
        <w:tc>
          <w:tcPr>
            <w:tcW w:w="1133" w:type="pct"/>
          </w:tcPr>
          <w:p w:rsidR="002975D7" w:rsidRPr="000767FC" w:rsidRDefault="009257E5" w:rsidP="009222BD">
            <w:r w:rsidRPr="000767FC">
              <w:t xml:space="preserve">d.5.2 </w:t>
            </w:r>
            <w:r w:rsidR="002975D7" w:rsidRPr="000767FC">
              <w:t>Efectos específicos en animales domésticos</w:t>
            </w:r>
            <w:r w:rsidR="002975D7" w:rsidRPr="00297EE3">
              <w:rPr>
                <w:rStyle w:val="Refdenotaalfinal"/>
                <w:b/>
              </w:rPr>
              <w:endnoteReference w:id="8"/>
            </w:r>
          </w:p>
        </w:tc>
        <w:tc>
          <w:tcPr>
            <w:tcW w:w="845" w:type="pct"/>
          </w:tcPr>
          <w:p w:rsidR="002975D7" w:rsidRPr="000767FC" w:rsidRDefault="006500E8" w:rsidP="006500E8">
            <w:pPr>
              <w:jc w:val="center"/>
            </w:pPr>
            <w:r w:rsidRPr="000767FC">
              <w:t>NA</w:t>
            </w:r>
          </w:p>
        </w:tc>
        <w:tc>
          <w:tcPr>
            <w:tcW w:w="310" w:type="pct"/>
          </w:tcPr>
          <w:p w:rsidR="002975D7" w:rsidRPr="000767FC" w:rsidRDefault="006500E8" w:rsidP="006500E8">
            <w:pPr>
              <w:jc w:val="center"/>
            </w:pPr>
            <w:r w:rsidRPr="000767FC">
              <w:t>NA</w:t>
            </w:r>
          </w:p>
        </w:tc>
        <w:tc>
          <w:tcPr>
            <w:tcW w:w="795" w:type="pct"/>
          </w:tcPr>
          <w:p w:rsidR="002975D7" w:rsidRPr="000767FC" w:rsidRDefault="006500E8" w:rsidP="006500E8">
            <w:pPr>
              <w:jc w:val="center"/>
            </w:pPr>
            <w:r w:rsidRPr="000767FC">
              <w:t>NA</w:t>
            </w:r>
          </w:p>
        </w:tc>
        <w:tc>
          <w:tcPr>
            <w:tcW w:w="557" w:type="pct"/>
          </w:tcPr>
          <w:p w:rsidR="002975D7" w:rsidRPr="000767FC" w:rsidRDefault="006500E8" w:rsidP="006500E8">
            <w:pPr>
              <w:jc w:val="center"/>
            </w:pPr>
            <w:r w:rsidRPr="000767FC">
              <w:t>NA</w:t>
            </w:r>
          </w:p>
        </w:tc>
        <w:tc>
          <w:tcPr>
            <w:tcW w:w="1361" w:type="pct"/>
          </w:tcPr>
          <w:p w:rsidR="002975D7" w:rsidRPr="000767FC" w:rsidRDefault="006500E8" w:rsidP="006500E8">
            <w:pPr>
              <w:jc w:val="center"/>
            </w:pPr>
            <w:r w:rsidRPr="000767FC">
              <w:t>NA</w:t>
            </w:r>
          </w:p>
        </w:tc>
      </w:tr>
      <w:tr w:rsidR="00E34AE3" w:rsidRPr="000767FC" w:rsidTr="00E34AE3">
        <w:tc>
          <w:tcPr>
            <w:tcW w:w="5000" w:type="pct"/>
            <w:gridSpan w:val="6"/>
            <w:shd w:val="clear" w:color="auto" w:fill="D9D9D9" w:themeFill="background1" w:themeFillShade="D9"/>
          </w:tcPr>
          <w:p w:rsidR="00E34AE3" w:rsidRPr="000767FC" w:rsidRDefault="009257E5">
            <w:r w:rsidRPr="000767FC">
              <w:t xml:space="preserve">7.2.1 III d.5.3 </w:t>
            </w:r>
            <w:r w:rsidR="00E34AE3" w:rsidRPr="000767FC">
              <w:t>Efectos en organismos acuáticos</w:t>
            </w:r>
          </w:p>
        </w:tc>
      </w:tr>
      <w:tr w:rsidR="00122C80" w:rsidRPr="0048268E" w:rsidTr="00B01293">
        <w:tc>
          <w:tcPr>
            <w:tcW w:w="1133" w:type="pct"/>
          </w:tcPr>
          <w:p w:rsidR="00122C80" w:rsidRPr="000767FC" w:rsidRDefault="009257E5">
            <w:r w:rsidRPr="000767FC">
              <w:t xml:space="preserve">d.5.3.1 </w:t>
            </w:r>
            <w:r w:rsidR="00122C80" w:rsidRPr="000767FC">
              <w:t>Toxicidad aguda en peces</w:t>
            </w:r>
          </w:p>
        </w:tc>
        <w:tc>
          <w:tcPr>
            <w:tcW w:w="845" w:type="pct"/>
          </w:tcPr>
          <w:p w:rsidR="00122C80" w:rsidRPr="000767FC" w:rsidRDefault="00122C80"/>
        </w:tc>
        <w:tc>
          <w:tcPr>
            <w:tcW w:w="310" w:type="pct"/>
          </w:tcPr>
          <w:p w:rsidR="00122C80" w:rsidRPr="000767FC" w:rsidRDefault="00122C80"/>
        </w:tc>
        <w:tc>
          <w:tcPr>
            <w:tcW w:w="795" w:type="pct"/>
          </w:tcPr>
          <w:p w:rsidR="00122C80" w:rsidRPr="008D6BCF" w:rsidRDefault="00122C80">
            <w:pPr>
              <w:rPr>
                <w:lang w:val="es-CR"/>
              </w:rPr>
            </w:pPr>
          </w:p>
        </w:tc>
        <w:tc>
          <w:tcPr>
            <w:tcW w:w="557" w:type="pct"/>
          </w:tcPr>
          <w:p w:rsidR="00122C80" w:rsidRPr="008D6BCF" w:rsidRDefault="00122C80">
            <w:pPr>
              <w:rPr>
                <w:lang w:val="es-CR"/>
              </w:rPr>
            </w:pPr>
          </w:p>
        </w:tc>
        <w:tc>
          <w:tcPr>
            <w:tcW w:w="1361" w:type="pct"/>
          </w:tcPr>
          <w:p w:rsidR="00122C80" w:rsidRPr="0048268E" w:rsidRDefault="00122C80" w:rsidP="0048268E">
            <w:pPr>
              <w:rPr>
                <w:lang w:val="es-CR"/>
              </w:rPr>
            </w:pPr>
          </w:p>
        </w:tc>
      </w:tr>
      <w:tr w:rsidR="00122C80" w:rsidRPr="000767FC" w:rsidTr="00B01293">
        <w:tc>
          <w:tcPr>
            <w:tcW w:w="1133" w:type="pct"/>
          </w:tcPr>
          <w:p w:rsidR="00122C80" w:rsidRPr="000767FC" w:rsidRDefault="009257E5" w:rsidP="00CE4A54">
            <w:r w:rsidRPr="000767FC">
              <w:t xml:space="preserve">d.5.3.2 </w:t>
            </w:r>
            <w:r w:rsidR="00122C80" w:rsidRPr="000767FC">
              <w:t>Toxicidad crónica en peces</w:t>
            </w:r>
            <w:r w:rsidR="00122C80" w:rsidRPr="00297EE3">
              <w:rPr>
                <w:rStyle w:val="Refdenotaalfinal"/>
                <w:b/>
              </w:rPr>
              <w:endnoteReference w:id="9"/>
            </w:r>
          </w:p>
        </w:tc>
        <w:tc>
          <w:tcPr>
            <w:tcW w:w="845" w:type="pct"/>
          </w:tcPr>
          <w:p w:rsidR="00122C80" w:rsidRPr="000767FC" w:rsidRDefault="00122C80"/>
        </w:tc>
        <w:tc>
          <w:tcPr>
            <w:tcW w:w="310" w:type="pct"/>
          </w:tcPr>
          <w:p w:rsidR="00122C80" w:rsidRPr="000767FC" w:rsidRDefault="00122C80"/>
        </w:tc>
        <w:tc>
          <w:tcPr>
            <w:tcW w:w="795" w:type="pct"/>
          </w:tcPr>
          <w:p w:rsidR="00122C80" w:rsidRPr="000767FC" w:rsidRDefault="00122C80"/>
        </w:tc>
        <w:tc>
          <w:tcPr>
            <w:tcW w:w="557" w:type="pct"/>
          </w:tcPr>
          <w:p w:rsidR="00122C80" w:rsidRPr="000767FC" w:rsidRDefault="00122C80" w:rsidP="00191ED4"/>
        </w:tc>
        <w:tc>
          <w:tcPr>
            <w:tcW w:w="1361" w:type="pct"/>
          </w:tcPr>
          <w:p w:rsidR="00122C80" w:rsidRPr="00191ED4" w:rsidRDefault="00122C80" w:rsidP="00F0183A"/>
        </w:tc>
      </w:tr>
      <w:tr w:rsidR="00122C80" w:rsidRPr="000767FC" w:rsidTr="00B01293">
        <w:tc>
          <w:tcPr>
            <w:tcW w:w="1133" w:type="pct"/>
          </w:tcPr>
          <w:p w:rsidR="00122C80" w:rsidRPr="000767FC" w:rsidRDefault="009257E5" w:rsidP="00297EE3">
            <w:r w:rsidRPr="000767FC">
              <w:lastRenderedPageBreak/>
              <w:t xml:space="preserve">d.5.3.3 </w:t>
            </w:r>
            <w:r w:rsidR="00122C80" w:rsidRPr="000767FC">
              <w:t xml:space="preserve">Efectos en la reproducción </w:t>
            </w:r>
            <w:r w:rsidR="002975D7" w:rsidRPr="000767FC">
              <w:t xml:space="preserve">y tasa de crecimiento </w:t>
            </w:r>
            <w:r w:rsidR="00122C80" w:rsidRPr="000767FC">
              <w:t>en peces</w:t>
            </w:r>
            <w:r w:rsidR="00297EE3" w:rsidRPr="00297EE3">
              <w:rPr>
                <w:b/>
                <w:vertAlign w:val="superscript"/>
              </w:rPr>
              <w:t>9</w:t>
            </w:r>
          </w:p>
        </w:tc>
        <w:tc>
          <w:tcPr>
            <w:tcW w:w="845" w:type="pct"/>
          </w:tcPr>
          <w:p w:rsidR="00122C80" w:rsidRPr="000767FC" w:rsidRDefault="00122C80"/>
        </w:tc>
        <w:tc>
          <w:tcPr>
            <w:tcW w:w="310" w:type="pct"/>
          </w:tcPr>
          <w:p w:rsidR="00122C80" w:rsidRPr="000767FC" w:rsidRDefault="00122C80"/>
        </w:tc>
        <w:tc>
          <w:tcPr>
            <w:tcW w:w="795" w:type="pct"/>
          </w:tcPr>
          <w:p w:rsidR="00122C80" w:rsidRPr="000767FC" w:rsidRDefault="00122C80"/>
        </w:tc>
        <w:tc>
          <w:tcPr>
            <w:tcW w:w="557" w:type="pct"/>
          </w:tcPr>
          <w:p w:rsidR="00122C80" w:rsidRPr="000767FC" w:rsidRDefault="00122C80"/>
        </w:tc>
        <w:tc>
          <w:tcPr>
            <w:tcW w:w="1361" w:type="pct"/>
          </w:tcPr>
          <w:p w:rsidR="00122C80" w:rsidRPr="00095FC3" w:rsidRDefault="00122C80"/>
        </w:tc>
      </w:tr>
      <w:tr w:rsidR="00054D28" w:rsidRPr="000767FC" w:rsidTr="00B01293">
        <w:tc>
          <w:tcPr>
            <w:tcW w:w="1133" w:type="pct"/>
          </w:tcPr>
          <w:p w:rsidR="00054D28" w:rsidRPr="000767FC" w:rsidRDefault="009257E5" w:rsidP="009257E5">
            <w:r w:rsidRPr="000767FC">
              <w:t xml:space="preserve">d.5.3.4 </w:t>
            </w:r>
            <w:r w:rsidR="002975D7" w:rsidRPr="000767FC">
              <w:t>Estud</w:t>
            </w:r>
            <w:r w:rsidRPr="000767FC">
              <w:t>i</w:t>
            </w:r>
            <w:r w:rsidR="002975D7" w:rsidRPr="000767FC">
              <w:t xml:space="preserve">o de </w:t>
            </w:r>
            <w:r w:rsidR="00122C80" w:rsidRPr="000767FC">
              <w:t>Bioacumulación en peces</w:t>
            </w:r>
            <w:r w:rsidR="00122C80" w:rsidRPr="00297EE3">
              <w:rPr>
                <w:rStyle w:val="Refdenotaalfinal"/>
                <w:b/>
              </w:rPr>
              <w:endnoteReference w:id="10"/>
            </w:r>
          </w:p>
        </w:tc>
        <w:tc>
          <w:tcPr>
            <w:tcW w:w="845" w:type="pct"/>
          </w:tcPr>
          <w:p w:rsidR="00054D28" w:rsidRPr="000767FC" w:rsidRDefault="00054D28"/>
        </w:tc>
        <w:tc>
          <w:tcPr>
            <w:tcW w:w="310" w:type="pct"/>
          </w:tcPr>
          <w:p w:rsidR="00054D28" w:rsidRPr="000767FC" w:rsidRDefault="00054D28"/>
        </w:tc>
        <w:tc>
          <w:tcPr>
            <w:tcW w:w="795" w:type="pct"/>
          </w:tcPr>
          <w:p w:rsidR="00054D28" w:rsidRPr="000767FC" w:rsidRDefault="00054D28"/>
        </w:tc>
        <w:tc>
          <w:tcPr>
            <w:tcW w:w="557" w:type="pct"/>
          </w:tcPr>
          <w:p w:rsidR="00054D28" w:rsidRPr="000767FC" w:rsidRDefault="00054D28"/>
        </w:tc>
        <w:tc>
          <w:tcPr>
            <w:tcW w:w="1361" w:type="pct"/>
          </w:tcPr>
          <w:p w:rsidR="00054D28" w:rsidRPr="00F0183A" w:rsidRDefault="00054D28"/>
        </w:tc>
      </w:tr>
      <w:tr w:rsidR="00054D28" w:rsidRPr="000767FC" w:rsidTr="00B01293">
        <w:tc>
          <w:tcPr>
            <w:tcW w:w="1133" w:type="pct"/>
          </w:tcPr>
          <w:p w:rsidR="00054D28" w:rsidRPr="000767FC" w:rsidRDefault="00B03A4D">
            <w:r w:rsidRPr="000767FC">
              <w:t>d.5.3.5</w:t>
            </w:r>
            <w:r w:rsidR="009257E5" w:rsidRPr="000767FC">
              <w:t xml:space="preserve"> </w:t>
            </w:r>
            <w:r w:rsidR="000C5A65" w:rsidRPr="000767FC">
              <w:t>Toxicidad aguda en Daphnia</w:t>
            </w:r>
          </w:p>
        </w:tc>
        <w:tc>
          <w:tcPr>
            <w:tcW w:w="845" w:type="pct"/>
          </w:tcPr>
          <w:p w:rsidR="00054D28" w:rsidRPr="000767FC" w:rsidRDefault="00054D28"/>
        </w:tc>
        <w:tc>
          <w:tcPr>
            <w:tcW w:w="310" w:type="pct"/>
          </w:tcPr>
          <w:p w:rsidR="00054D28" w:rsidRPr="000767FC" w:rsidRDefault="00054D28"/>
        </w:tc>
        <w:tc>
          <w:tcPr>
            <w:tcW w:w="795" w:type="pct"/>
          </w:tcPr>
          <w:p w:rsidR="00054D28" w:rsidRPr="000767FC" w:rsidRDefault="00054D28"/>
        </w:tc>
        <w:tc>
          <w:tcPr>
            <w:tcW w:w="557" w:type="pct"/>
          </w:tcPr>
          <w:p w:rsidR="00054D28" w:rsidRPr="000767FC" w:rsidRDefault="00054D28"/>
        </w:tc>
        <w:tc>
          <w:tcPr>
            <w:tcW w:w="1361" w:type="pct"/>
          </w:tcPr>
          <w:p w:rsidR="00F0183A" w:rsidRPr="00F0183A" w:rsidRDefault="00F0183A" w:rsidP="00F0183A"/>
        </w:tc>
      </w:tr>
      <w:tr w:rsidR="000C5A65" w:rsidRPr="000767FC" w:rsidTr="00B01293">
        <w:tc>
          <w:tcPr>
            <w:tcW w:w="1133" w:type="pct"/>
          </w:tcPr>
          <w:p w:rsidR="000C5A65" w:rsidRPr="000767FC" w:rsidRDefault="00B03A4D" w:rsidP="000C5A65">
            <w:r w:rsidRPr="000767FC">
              <w:t>d.5.3.6</w:t>
            </w:r>
            <w:r w:rsidR="009257E5" w:rsidRPr="000767FC">
              <w:t xml:space="preserve"> </w:t>
            </w:r>
            <w:r w:rsidR="000C5A65" w:rsidRPr="000767FC">
              <w:t>Toxicidad crónica en Daphnia</w:t>
            </w:r>
            <w:r w:rsidR="00207221" w:rsidRPr="00297EE3">
              <w:rPr>
                <w:rStyle w:val="Refdenotaalfinal"/>
                <w:b/>
              </w:rPr>
              <w:endnoteReference w:id="11"/>
            </w:r>
          </w:p>
        </w:tc>
        <w:tc>
          <w:tcPr>
            <w:tcW w:w="845" w:type="pct"/>
          </w:tcPr>
          <w:p w:rsidR="000C5A65" w:rsidRPr="000767FC" w:rsidRDefault="000C5A65"/>
        </w:tc>
        <w:tc>
          <w:tcPr>
            <w:tcW w:w="310" w:type="pct"/>
          </w:tcPr>
          <w:p w:rsidR="000C5A65" w:rsidRPr="000767FC" w:rsidRDefault="000C5A65"/>
        </w:tc>
        <w:tc>
          <w:tcPr>
            <w:tcW w:w="795" w:type="pct"/>
          </w:tcPr>
          <w:p w:rsidR="000C5A65" w:rsidRPr="000767FC" w:rsidRDefault="000C5A65"/>
        </w:tc>
        <w:tc>
          <w:tcPr>
            <w:tcW w:w="557" w:type="pct"/>
          </w:tcPr>
          <w:p w:rsidR="000C5A65" w:rsidRPr="000767FC" w:rsidRDefault="000C5A65"/>
        </w:tc>
        <w:tc>
          <w:tcPr>
            <w:tcW w:w="1361" w:type="pct"/>
          </w:tcPr>
          <w:p w:rsidR="000C5A65" w:rsidRPr="00DC2BB3" w:rsidRDefault="000C5A65"/>
        </w:tc>
      </w:tr>
      <w:tr w:rsidR="000C5A65" w:rsidRPr="000767FC" w:rsidTr="00B01293">
        <w:tc>
          <w:tcPr>
            <w:tcW w:w="1133" w:type="pct"/>
          </w:tcPr>
          <w:p w:rsidR="000C5A65" w:rsidRPr="000767FC" w:rsidRDefault="00B03A4D" w:rsidP="002975D7">
            <w:r w:rsidRPr="000767FC">
              <w:t>d.5.3.7</w:t>
            </w:r>
            <w:r w:rsidR="009257E5" w:rsidRPr="000767FC">
              <w:t xml:space="preserve"> </w:t>
            </w:r>
            <w:r w:rsidR="002975D7" w:rsidRPr="000767FC">
              <w:t>Estudio sobre el efectos en el crecimiento en</w:t>
            </w:r>
            <w:r w:rsidR="000C5A65" w:rsidRPr="000767FC">
              <w:t xml:space="preserve"> algas</w:t>
            </w:r>
            <w:r w:rsidR="00207221" w:rsidRPr="00297EE3">
              <w:rPr>
                <w:rStyle w:val="Refdenotaalfinal"/>
                <w:b/>
              </w:rPr>
              <w:endnoteReference w:id="12"/>
            </w:r>
          </w:p>
        </w:tc>
        <w:tc>
          <w:tcPr>
            <w:tcW w:w="845" w:type="pct"/>
          </w:tcPr>
          <w:p w:rsidR="000C5A65" w:rsidRPr="000767FC" w:rsidRDefault="000C5A65"/>
        </w:tc>
        <w:tc>
          <w:tcPr>
            <w:tcW w:w="310" w:type="pct"/>
          </w:tcPr>
          <w:p w:rsidR="000C5A65" w:rsidRPr="000767FC" w:rsidRDefault="000C5A65"/>
        </w:tc>
        <w:tc>
          <w:tcPr>
            <w:tcW w:w="795" w:type="pct"/>
          </w:tcPr>
          <w:p w:rsidR="000C5A65" w:rsidRPr="000767FC" w:rsidRDefault="000C5A65"/>
        </w:tc>
        <w:tc>
          <w:tcPr>
            <w:tcW w:w="557" w:type="pct"/>
          </w:tcPr>
          <w:p w:rsidR="000C5A65" w:rsidRPr="000767FC" w:rsidRDefault="000C5A65"/>
        </w:tc>
        <w:tc>
          <w:tcPr>
            <w:tcW w:w="1361" w:type="pct"/>
          </w:tcPr>
          <w:p w:rsidR="000C5A65" w:rsidRPr="00DC2BB3" w:rsidRDefault="000C5A65">
            <w:pPr>
              <w:rPr>
                <w:i/>
              </w:rPr>
            </w:pPr>
          </w:p>
        </w:tc>
      </w:tr>
      <w:tr w:rsidR="00E34AE3" w:rsidRPr="000767FC" w:rsidTr="00E34AE3">
        <w:tc>
          <w:tcPr>
            <w:tcW w:w="5000" w:type="pct"/>
            <w:gridSpan w:val="6"/>
            <w:shd w:val="clear" w:color="auto" w:fill="D9D9D9" w:themeFill="background1" w:themeFillShade="D9"/>
          </w:tcPr>
          <w:p w:rsidR="00E34AE3" w:rsidRPr="000767FC" w:rsidRDefault="009257E5">
            <w:r w:rsidRPr="000767FC">
              <w:t xml:space="preserve">7.2.1 </w:t>
            </w:r>
            <w:r w:rsidR="00B03A4D" w:rsidRPr="000767FC">
              <w:t>III d.5.4</w:t>
            </w:r>
            <w:r w:rsidRPr="000767FC">
              <w:t xml:space="preserve"> </w:t>
            </w:r>
            <w:r w:rsidR="00E34AE3" w:rsidRPr="000767FC">
              <w:t>Efectos sobre organismos no objetivo</w:t>
            </w:r>
          </w:p>
        </w:tc>
      </w:tr>
      <w:tr w:rsidR="000C5A65" w:rsidRPr="000767FC" w:rsidTr="00B01293">
        <w:tc>
          <w:tcPr>
            <w:tcW w:w="1133" w:type="pct"/>
          </w:tcPr>
          <w:p w:rsidR="000C5A65" w:rsidRPr="000767FC" w:rsidRDefault="00B03A4D" w:rsidP="009A25BC">
            <w:r w:rsidRPr="000767FC">
              <w:t xml:space="preserve">d.5.4.1 </w:t>
            </w:r>
            <w:r w:rsidR="000C5A65" w:rsidRPr="000767FC">
              <w:t xml:space="preserve">Toxicidad </w:t>
            </w:r>
            <w:r w:rsidR="002975D7" w:rsidRPr="000767FC">
              <w:t>aguda</w:t>
            </w:r>
            <w:r w:rsidR="008979D3">
              <w:t xml:space="preserve"> por vía oral y contacto</w:t>
            </w:r>
            <w:r w:rsidR="002975D7" w:rsidRPr="000767FC">
              <w:t xml:space="preserve"> para las</w:t>
            </w:r>
            <w:r w:rsidR="000C5A65" w:rsidRPr="000767FC">
              <w:t xml:space="preserve"> abejas</w:t>
            </w:r>
            <w:r w:rsidR="003C027D" w:rsidRPr="00297EE3">
              <w:rPr>
                <w:rStyle w:val="Refdenotaalfinal"/>
                <w:b/>
              </w:rPr>
              <w:endnoteReference w:id="13"/>
            </w:r>
            <w:r w:rsidR="002975D7" w:rsidRPr="00297EE3">
              <w:rPr>
                <w:b/>
              </w:rPr>
              <w:t xml:space="preserve"> </w:t>
            </w:r>
          </w:p>
        </w:tc>
        <w:tc>
          <w:tcPr>
            <w:tcW w:w="845" w:type="pct"/>
          </w:tcPr>
          <w:p w:rsidR="000C5A65" w:rsidRPr="000767FC" w:rsidRDefault="000C5A65"/>
        </w:tc>
        <w:tc>
          <w:tcPr>
            <w:tcW w:w="310" w:type="pct"/>
          </w:tcPr>
          <w:p w:rsidR="000C5A65" w:rsidRPr="000767FC" w:rsidRDefault="000C5A65"/>
        </w:tc>
        <w:tc>
          <w:tcPr>
            <w:tcW w:w="795" w:type="pct"/>
          </w:tcPr>
          <w:p w:rsidR="000C5A65" w:rsidRPr="000767FC" w:rsidRDefault="000C5A65"/>
        </w:tc>
        <w:tc>
          <w:tcPr>
            <w:tcW w:w="557" w:type="pct"/>
          </w:tcPr>
          <w:p w:rsidR="000C5A65" w:rsidRPr="000767FC" w:rsidRDefault="000C5A65"/>
        </w:tc>
        <w:tc>
          <w:tcPr>
            <w:tcW w:w="1361" w:type="pct"/>
          </w:tcPr>
          <w:p w:rsidR="000C5A65" w:rsidRPr="00B01293" w:rsidRDefault="000C5A65"/>
        </w:tc>
      </w:tr>
      <w:tr w:rsidR="00B01293" w:rsidRPr="000767FC" w:rsidTr="00B01293">
        <w:tc>
          <w:tcPr>
            <w:tcW w:w="1133" w:type="pct"/>
          </w:tcPr>
          <w:p w:rsidR="00B01293" w:rsidRPr="000767FC" w:rsidRDefault="00B01293" w:rsidP="00B01293">
            <w:r w:rsidRPr="000767FC">
              <w:t>d.5.4.2 Toxicidad en lombriz de tierra</w:t>
            </w:r>
          </w:p>
        </w:tc>
        <w:tc>
          <w:tcPr>
            <w:tcW w:w="845" w:type="pct"/>
          </w:tcPr>
          <w:p w:rsidR="00B01293" w:rsidRPr="000767FC" w:rsidRDefault="00B01293" w:rsidP="00B01293"/>
        </w:tc>
        <w:tc>
          <w:tcPr>
            <w:tcW w:w="310" w:type="pct"/>
          </w:tcPr>
          <w:p w:rsidR="00B01293" w:rsidRPr="000767FC" w:rsidRDefault="00B01293" w:rsidP="00B01293"/>
        </w:tc>
        <w:tc>
          <w:tcPr>
            <w:tcW w:w="795" w:type="pct"/>
          </w:tcPr>
          <w:p w:rsidR="00B01293" w:rsidRPr="000767FC" w:rsidRDefault="00B01293" w:rsidP="00B01293"/>
        </w:tc>
        <w:tc>
          <w:tcPr>
            <w:tcW w:w="557" w:type="pct"/>
          </w:tcPr>
          <w:p w:rsidR="00B01293" w:rsidRPr="000767FC" w:rsidRDefault="00B01293" w:rsidP="00B01293"/>
        </w:tc>
        <w:tc>
          <w:tcPr>
            <w:tcW w:w="1361" w:type="pct"/>
          </w:tcPr>
          <w:p w:rsidR="00B01293" w:rsidRPr="00B01293" w:rsidRDefault="00B01293" w:rsidP="00B01293"/>
        </w:tc>
      </w:tr>
      <w:tr w:rsidR="00B01293" w:rsidRPr="000767FC" w:rsidTr="00B01293">
        <w:tc>
          <w:tcPr>
            <w:tcW w:w="1133" w:type="pct"/>
          </w:tcPr>
          <w:p w:rsidR="00B01293" w:rsidRPr="000767FC" w:rsidRDefault="00B01293" w:rsidP="00B01293">
            <w:r w:rsidRPr="000767FC">
              <w:t>d.5.4.3 Toxicidad en microorganismos del suelo (nitrificadores)</w:t>
            </w:r>
            <w:r w:rsidRPr="00297EE3">
              <w:rPr>
                <w:rStyle w:val="Refdenotaalfinal"/>
                <w:b/>
              </w:rPr>
              <w:endnoteReference w:id="14"/>
            </w:r>
          </w:p>
        </w:tc>
        <w:tc>
          <w:tcPr>
            <w:tcW w:w="845" w:type="pct"/>
          </w:tcPr>
          <w:p w:rsidR="00B01293" w:rsidRPr="000767FC" w:rsidRDefault="00B01293" w:rsidP="00B01293"/>
        </w:tc>
        <w:tc>
          <w:tcPr>
            <w:tcW w:w="310" w:type="pct"/>
          </w:tcPr>
          <w:p w:rsidR="00B01293" w:rsidRPr="000767FC" w:rsidRDefault="00B01293" w:rsidP="00B01293"/>
        </w:tc>
        <w:tc>
          <w:tcPr>
            <w:tcW w:w="795" w:type="pct"/>
          </w:tcPr>
          <w:p w:rsidR="00B01293" w:rsidRPr="000767FC" w:rsidRDefault="00B01293" w:rsidP="00B01293"/>
        </w:tc>
        <w:tc>
          <w:tcPr>
            <w:tcW w:w="557" w:type="pct"/>
          </w:tcPr>
          <w:p w:rsidR="00B01293" w:rsidRPr="000767FC" w:rsidRDefault="00B01293" w:rsidP="00B01293"/>
        </w:tc>
        <w:tc>
          <w:tcPr>
            <w:tcW w:w="1361" w:type="pct"/>
          </w:tcPr>
          <w:p w:rsidR="00B01293" w:rsidRPr="00B01293" w:rsidRDefault="00B01293" w:rsidP="00B01293"/>
        </w:tc>
      </w:tr>
      <w:tr w:rsidR="00B01293" w:rsidRPr="000767FC" w:rsidTr="00E34AE3">
        <w:tc>
          <w:tcPr>
            <w:tcW w:w="5000" w:type="pct"/>
            <w:gridSpan w:val="6"/>
            <w:shd w:val="clear" w:color="auto" w:fill="D9D9D9" w:themeFill="background1" w:themeFillShade="D9"/>
          </w:tcPr>
          <w:p w:rsidR="00B01293" w:rsidRPr="000767FC" w:rsidRDefault="00B01293" w:rsidP="00B01293">
            <w:r w:rsidRPr="000767FC">
              <w:t>7.2.1 III d.6.1 Estudios específicos para suelo</w:t>
            </w:r>
          </w:p>
        </w:tc>
      </w:tr>
      <w:tr w:rsidR="00B01293" w:rsidRPr="000767FC" w:rsidTr="00B01293">
        <w:tc>
          <w:tcPr>
            <w:tcW w:w="1133" w:type="pct"/>
          </w:tcPr>
          <w:p w:rsidR="00B01293" w:rsidRPr="000767FC" w:rsidRDefault="00B01293" w:rsidP="00B01293">
            <w:r w:rsidRPr="000767FC">
              <w:t>d.6.1.1 Procesos de degradación, tasa y vías en suelo</w:t>
            </w:r>
            <w:r w:rsidRPr="00297EE3">
              <w:rPr>
                <w:rStyle w:val="Refdenotaalfinal"/>
                <w:b/>
              </w:rPr>
              <w:endnoteReference w:id="15"/>
            </w:r>
          </w:p>
        </w:tc>
        <w:tc>
          <w:tcPr>
            <w:tcW w:w="845" w:type="pct"/>
          </w:tcPr>
          <w:p w:rsidR="00B01293" w:rsidRPr="000767FC" w:rsidRDefault="00B01293" w:rsidP="00B01293"/>
        </w:tc>
        <w:tc>
          <w:tcPr>
            <w:tcW w:w="310" w:type="pct"/>
          </w:tcPr>
          <w:p w:rsidR="00B01293" w:rsidRPr="000767FC" w:rsidRDefault="008D6BCF" w:rsidP="00B01293">
            <w:r>
              <w:t>NA</w:t>
            </w:r>
          </w:p>
        </w:tc>
        <w:tc>
          <w:tcPr>
            <w:tcW w:w="795" w:type="pct"/>
          </w:tcPr>
          <w:p w:rsidR="00B01293" w:rsidRPr="000767FC" w:rsidRDefault="00B01293" w:rsidP="00B01293"/>
        </w:tc>
        <w:tc>
          <w:tcPr>
            <w:tcW w:w="557" w:type="pct"/>
          </w:tcPr>
          <w:p w:rsidR="00B01293" w:rsidRPr="000767FC" w:rsidRDefault="00B01293" w:rsidP="00B01293"/>
        </w:tc>
        <w:tc>
          <w:tcPr>
            <w:tcW w:w="1361" w:type="pct"/>
          </w:tcPr>
          <w:p w:rsidR="00B01293" w:rsidRPr="000767FC" w:rsidRDefault="00B01293" w:rsidP="00B01293"/>
        </w:tc>
      </w:tr>
      <w:tr w:rsidR="00B01293" w:rsidRPr="000767FC" w:rsidTr="00B01293">
        <w:tc>
          <w:tcPr>
            <w:tcW w:w="1133" w:type="pct"/>
          </w:tcPr>
          <w:p w:rsidR="00B01293" w:rsidRPr="000767FC" w:rsidRDefault="00B01293" w:rsidP="00B01293">
            <w:r w:rsidRPr="000767FC">
              <w:t>d.6.1.2 Metabolitos y productos resultantes de la degradación</w:t>
            </w:r>
            <w:r w:rsidRPr="00297EE3">
              <w:rPr>
                <w:rStyle w:val="Refdenotaalfinal"/>
                <w:b/>
              </w:rPr>
              <w:endnoteReference w:id="16"/>
            </w:r>
          </w:p>
        </w:tc>
        <w:tc>
          <w:tcPr>
            <w:tcW w:w="845" w:type="pct"/>
          </w:tcPr>
          <w:p w:rsidR="00B01293" w:rsidRPr="000767FC" w:rsidRDefault="00B01293" w:rsidP="00B01293"/>
        </w:tc>
        <w:tc>
          <w:tcPr>
            <w:tcW w:w="310" w:type="pct"/>
          </w:tcPr>
          <w:p w:rsidR="00B01293" w:rsidRPr="000767FC" w:rsidRDefault="008D6BCF" w:rsidP="00B01293">
            <w:r>
              <w:t>NA</w:t>
            </w:r>
          </w:p>
        </w:tc>
        <w:tc>
          <w:tcPr>
            <w:tcW w:w="795" w:type="pct"/>
          </w:tcPr>
          <w:p w:rsidR="00B01293" w:rsidRPr="000767FC" w:rsidRDefault="00B01293" w:rsidP="00B01293"/>
        </w:tc>
        <w:tc>
          <w:tcPr>
            <w:tcW w:w="557" w:type="pct"/>
          </w:tcPr>
          <w:p w:rsidR="00B01293" w:rsidRPr="000767FC" w:rsidRDefault="00B01293" w:rsidP="00B01293"/>
        </w:tc>
        <w:tc>
          <w:tcPr>
            <w:tcW w:w="1361" w:type="pct"/>
          </w:tcPr>
          <w:p w:rsidR="00B01293" w:rsidRPr="000767FC" w:rsidRDefault="00B01293" w:rsidP="00B01293"/>
        </w:tc>
      </w:tr>
      <w:tr w:rsidR="00B01293" w:rsidRPr="000767FC" w:rsidTr="00B01293">
        <w:tc>
          <w:tcPr>
            <w:tcW w:w="1133" w:type="pct"/>
          </w:tcPr>
          <w:p w:rsidR="00B01293" w:rsidRPr="000767FC" w:rsidRDefault="00B01293" w:rsidP="00B01293">
            <w:r w:rsidRPr="000767FC">
              <w:t>d.6.1.3 Adsorción, desorción y lixiviación en suelo</w:t>
            </w:r>
            <w:r w:rsidRPr="00297EE3">
              <w:rPr>
                <w:rStyle w:val="Refdenotaalfinal"/>
                <w:b/>
              </w:rPr>
              <w:endnoteReference w:id="17"/>
            </w:r>
          </w:p>
        </w:tc>
        <w:tc>
          <w:tcPr>
            <w:tcW w:w="845" w:type="pct"/>
          </w:tcPr>
          <w:p w:rsidR="00B01293" w:rsidRPr="000767FC" w:rsidRDefault="00B01293" w:rsidP="00B01293"/>
        </w:tc>
        <w:tc>
          <w:tcPr>
            <w:tcW w:w="310" w:type="pct"/>
          </w:tcPr>
          <w:p w:rsidR="00B01293" w:rsidRPr="000767FC" w:rsidRDefault="008D6BCF" w:rsidP="00B01293">
            <w:r>
              <w:t>NA</w:t>
            </w:r>
          </w:p>
        </w:tc>
        <w:tc>
          <w:tcPr>
            <w:tcW w:w="795" w:type="pct"/>
          </w:tcPr>
          <w:p w:rsidR="00B01293" w:rsidRPr="000767FC" w:rsidRDefault="00B01293" w:rsidP="00B01293"/>
        </w:tc>
        <w:tc>
          <w:tcPr>
            <w:tcW w:w="557" w:type="pct"/>
          </w:tcPr>
          <w:p w:rsidR="00B01293" w:rsidRPr="000767FC" w:rsidRDefault="00B01293" w:rsidP="00B01293"/>
        </w:tc>
        <w:tc>
          <w:tcPr>
            <w:tcW w:w="1361" w:type="pct"/>
          </w:tcPr>
          <w:p w:rsidR="00B01293" w:rsidRPr="000767FC" w:rsidRDefault="00B01293" w:rsidP="00B01293"/>
        </w:tc>
      </w:tr>
      <w:tr w:rsidR="00B01293" w:rsidRPr="000767FC" w:rsidTr="00B01293">
        <w:tc>
          <w:tcPr>
            <w:tcW w:w="1133" w:type="pct"/>
          </w:tcPr>
          <w:p w:rsidR="00B01293" w:rsidRPr="000767FC" w:rsidRDefault="00B01293" w:rsidP="00B01293">
            <w:r w:rsidRPr="000767FC">
              <w:t>d.6.1.4 Magnitud y naturaleza de los residuos remanentes</w:t>
            </w:r>
            <w:r w:rsidRPr="00297EE3">
              <w:rPr>
                <w:rStyle w:val="Refdenotaalfinal"/>
                <w:b/>
              </w:rPr>
              <w:endnoteReference w:id="18"/>
            </w:r>
          </w:p>
        </w:tc>
        <w:tc>
          <w:tcPr>
            <w:tcW w:w="845" w:type="pct"/>
          </w:tcPr>
          <w:p w:rsidR="00B01293" w:rsidRPr="000767FC" w:rsidRDefault="00B01293" w:rsidP="00B01293"/>
        </w:tc>
        <w:tc>
          <w:tcPr>
            <w:tcW w:w="310" w:type="pct"/>
          </w:tcPr>
          <w:p w:rsidR="00B01293" w:rsidRPr="000767FC" w:rsidRDefault="008D6BCF" w:rsidP="00B01293">
            <w:r>
              <w:t>NA</w:t>
            </w:r>
          </w:p>
        </w:tc>
        <w:tc>
          <w:tcPr>
            <w:tcW w:w="795" w:type="pct"/>
          </w:tcPr>
          <w:p w:rsidR="00B01293" w:rsidRPr="000767FC" w:rsidRDefault="00B01293" w:rsidP="00B01293"/>
        </w:tc>
        <w:tc>
          <w:tcPr>
            <w:tcW w:w="557" w:type="pct"/>
          </w:tcPr>
          <w:p w:rsidR="00B01293" w:rsidRPr="000767FC" w:rsidRDefault="00B01293" w:rsidP="00B01293"/>
        </w:tc>
        <w:tc>
          <w:tcPr>
            <w:tcW w:w="1361" w:type="pct"/>
          </w:tcPr>
          <w:p w:rsidR="00B01293" w:rsidRPr="000767FC" w:rsidRDefault="00B01293" w:rsidP="00B01293"/>
        </w:tc>
      </w:tr>
      <w:tr w:rsidR="00B01293" w:rsidRPr="000767FC" w:rsidTr="00E34AE3">
        <w:tc>
          <w:tcPr>
            <w:tcW w:w="5000" w:type="pct"/>
            <w:gridSpan w:val="6"/>
            <w:shd w:val="clear" w:color="auto" w:fill="D9D9D9" w:themeFill="background1" w:themeFillShade="D9"/>
          </w:tcPr>
          <w:p w:rsidR="00B01293" w:rsidRPr="000767FC" w:rsidRDefault="00B01293" w:rsidP="00B01293">
            <w:r w:rsidRPr="000767FC">
              <w:t>7.2.1 III d.6.2 Estudios específicos para agua y aire</w:t>
            </w:r>
          </w:p>
        </w:tc>
      </w:tr>
      <w:tr w:rsidR="00B01293" w:rsidRPr="000767FC" w:rsidTr="00B01293">
        <w:tc>
          <w:tcPr>
            <w:tcW w:w="1133" w:type="pct"/>
          </w:tcPr>
          <w:p w:rsidR="00B01293" w:rsidRPr="000767FC" w:rsidRDefault="00B01293" w:rsidP="00B01293">
            <w:r w:rsidRPr="000767FC">
              <w:t>d.6.2.1 Estudio de las tasas y vías de degradación en medio acuoso, sedimentos así como en aire</w:t>
            </w:r>
          </w:p>
        </w:tc>
        <w:tc>
          <w:tcPr>
            <w:tcW w:w="845" w:type="pct"/>
          </w:tcPr>
          <w:p w:rsidR="00B01293" w:rsidRPr="000767FC" w:rsidRDefault="00B01293" w:rsidP="00B01293"/>
        </w:tc>
        <w:tc>
          <w:tcPr>
            <w:tcW w:w="310" w:type="pct"/>
          </w:tcPr>
          <w:p w:rsidR="00B01293" w:rsidRPr="000767FC" w:rsidRDefault="008D6BCF" w:rsidP="00B01293">
            <w:r>
              <w:t>NA</w:t>
            </w:r>
          </w:p>
        </w:tc>
        <w:tc>
          <w:tcPr>
            <w:tcW w:w="795" w:type="pct"/>
          </w:tcPr>
          <w:p w:rsidR="00B01293" w:rsidRPr="000767FC" w:rsidRDefault="00B01293" w:rsidP="00B01293"/>
        </w:tc>
        <w:tc>
          <w:tcPr>
            <w:tcW w:w="557" w:type="pct"/>
          </w:tcPr>
          <w:p w:rsidR="00B01293" w:rsidRPr="000767FC" w:rsidRDefault="00B01293" w:rsidP="00B01293"/>
        </w:tc>
        <w:tc>
          <w:tcPr>
            <w:tcW w:w="1361" w:type="pct"/>
          </w:tcPr>
          <w:p w:rsidR="00B01293" w:rsidRPr="000767FC" w:rsidRDefault="00B01293" w:rsidP="00B01293"/>
        </w:tc>
      </w:tr>
      <w:tr w:rsidR="00B01293" w:rsidRPr="000767FC" w:rsidTr="00B01293">
        <w:tc>
          <w:tcPr>
            <w:tcW w:w="1133" w:type="pct"/>
          </w:tcPr>
          <w:p w:rsidR="00B01293" w:rsidRPr="000767FC" w:rsidRDefault="00B01293" w:rsidP="00B01293">
            <w:r w:rsidRPr="000767FC">
              <w:t>d.6.2.2 Hidrólisis acuosa</w:t>
            </w:r>
            <w:r w:rsidRPr="00297EE3">
              <w:rPr>
                <w:rStyle w:val="Refdenotaalfinal"/>
                <w:b/>
              </w:rPr>
              <w:endnoteReference w:id="19"/>
            </w:r>
            <w:r w:rsidRPr="00297EE3">
              <w:rPr>
                <w:b/>
              </w:rPr>
              <w:t xml:space="preserve">, </w:t>
            </w:r>
            <w:r w:rsidRPr="00297EE3">
              <w:rPr>
                <w:rStyle w:val="Refdenotaalfinal"/>
                <w:b/>
              </w:rPr>
              <w:endnoteReference w:id="20"/>
            </w:r>
          </w:p>
        </w:tc>
        <w:tc>
          <w:tcPr>
            <w:tcW w:w="845" w:type="pct"/>
          </w:tcPr>
          <w:p w:rsidR="00B01293" w:rsidRPr="000767FC" w:rsidRDefault="00B01293" w:rsidP="00B01293"/>
        </w:tc>
        <w:tc>
          <w:tcPr>
            <w:tcW w:w="310" w:type="pct"/>
          </w:tcPr>
          <w:p w:rsidR="00B01293" w:rsidRPr="000767FC" w:rsidRDefault="008D6BCF" w:rsidP="00B01293">
            <w:r>
              <w:t>NA</w:t>
            </w:r>
          </w:p>
        </w:tc>
        <w:tc>
          <w:tcPr>
            <w:tcW w:w="795" w:type="pct"/>
          </w:tcPr>
          <w:p w:rsidR="00B01293" w:rsidRPr="000767FC" w:rsidRDefault="00B01293" w:rsidP="00B01293"/>
        </w:tc>
        <w:tc>
          <w:tcPr>
            <w:tcW w:w="557" w:type="pct"/>
          </w:tcPr>
          <w:p w:rsidR="00B01293" w:rsidRPr="000767FC" w:rsidRDefault="00B01293" w:rsidP="00B01293"/>
        </w:tc>
        <w:tc>
          <w:tcPr>
            <w:tcW w:w="1361" w:type="pct"/>
          </w:tcPr>
          <w:p w:rsidR="00B01293" w:rsidRPr="000767FC" w:rsidRDefault="00B01293" w:rsidP="00B01293"/>
        </w:tc>
      </w:tr>
      <w:tr w:rsidR="00B01293" w:rsidRPr="000767FC" w:rsidTr="00B01293">
        <w:tc>
          <w:tcPr>
            <w:tcW w:w="1133" w:type="pct"/>
          </w:tcPr>
          <w:p w:rsidR="00B01293" w:rsidRPr="000767FC" w:rsidRDefault="00B01293" w:rsidP="00B01293">
            <w:r w:rsidRPr="000767FC">
              <w:t>d.6.2.2 Fotólisis</w:t>
            </w:r>
            <w:r>
              <w:rPr>
                <w:b/>
                <w:vertAlign w:val="superscript"/>
              </w:rPr>
              <w:t>20</w:t>
            </w:r>
          </w:p>
        </w:tc>
        <w:tc>
          <w:tcPr>
            <w:tcW w:w="845" w:type="pct"/>
          </w:tcPr>
          <w:p w:rsidR="00B01293" w:rsidRPr="000767FC" w:rsidRDefault="00B01293" w:rsidP="00B01293"/>
        </w:tc>
        <w:tc>
          <w:tcPr>
            <w:tcW w:w="310" w:type="pct"/>
          </w:tcPr>
          <w:p w:rsidR="00B01293" w:rsidRPr="000767FC" w:rsidRDefault="008D6BCF" w:rsidP="00B01293">
            <w:r>
              <w:t>NA</w:t>
            </w:r>
          </w:p>
        </w:tc>
        <w:tc>
          <w:tcPr>
            <w:tcW w:w="795" w:type="pct"/>
          </w:tcPr>
          <w:p w:rsidR="00B01293" w:rsidRPr="000767FC" w:rsidRDefault="00B01293" w:rsidP="00B01293"/>
        </w:tc>
        <w:tc>
          <w:tcPr>
            <w:tcW w:w="557" w:type="pct"/>
          </w:tcPr>
          <w:p w:rsidR="00B01293" w:rsidRPr="000767FC" w:rsidRDefault="00B01293" w:rsidP="00B01293"/>
        </w:tc>
        <w:tc>
          <w:tcPr>
            <w:tcW w:w="1361" w:type="pct"/>
          </w:tcPr>
          <w:p w:rsidR="00B01293" w:rsidRPr="000767FC" w:rsidRDefault="00B01293" w:rsidP="00B01293"/>
        </w:tc>
      </w:tr>
      <w:tr w:rsidR="00B01293" w:rsidRPr="000767FC" w:rsidTr="00B01293">
        <w:tc>
          <w:tcPr>
            <w:tcW w:w="1133" w:type="pct"/>
          </w:tcPr>
          <w:p w:rsidR="00B01293" w:rsidRPr="000767FC" w:rsidRDefault="00B01293" w:rsidP="00B01293">
            <w:r w:rsidRPr="000767FC">
              <w:t>d.6.2.2 Oxidación</w:t>
            </w:r>
            <w:r w:rsidRPr="00297EE3">
              <w:rPr>
                <w:rStyle w:val="Refdenotaalfinal"/>
                <w:b/>
              </w:rPr>
              <w:endnoteReference w:id="21"/>
            </w:r>
          </w:p>
        </w:tc>
        <w:tc>
          <w:tcPr>
            <w:tcW w:w="845" w:type="pct"/>
          </w:tcPr>
          <w:p w:rsidR="00B01293" w:rsidRPr="000767FC" w:rsidRDefault="00B01293" w:rsidP="00B01293"/>
        </w:tc>
        <w:tc>
          <w:tcPr>
            <w:tcW w:w="310" w:type="pct"/>
          </w:tcPr>
          <w:p w:rsidR="00B01293" w:rsidRPr="000767FC" w:rsidRDefault="00B01293" w:rsidP="00B01293">
            <w:pPr>
              <w:jc w:val="center"/>
            </w:pPr>
            <w:r w:rsidRPr="000767FC">
              <w:t>NA</w:t>
            </w:r>
          </w:p>
        </w:tc>
        <w:tc>
          <w:tcPr>
            <w:tcW w:w="795" w:type="pct"/>
          </w:tcPr>
          <w:p w:rsidR="00B01293" w:rsidRPr="000767FC" w:rsidRDefault="00B01293" w:rsidP="00B01293"/>
        </w:tc>
        <w:tc>
          <w:tcPr>
            <w:tcW w:w="557" w:type="pct"/>
          </w:tcPr>
          <w:p w:rsidR="00B01293" w:rsidRPr="000767FC" w:rsidRDefault="00B01293" w:rsidP="00B01293"/>
        </w:tc>
        <w:tc>
          <w:tcPr>
            <w:tcW w:w="1361" w:type="pct"/>
          </w:tcPr>
          <w:p w:rsidR="00B01293" w:rsidRPr="000767FC" w:rsidRDefault="00B01293" w:rsidP="00B01293"/>
        </w:tc>
      </w:tr>
      <w:tr w:rsidR="00B01293" w:rsidRPr="000767FC" w:rsidTr="00B01293">
        <w:tc>
          <w:tcPr>
            <w:tcW w:w="1133" w:type="pct"/>
          </w:tcPr>
          <w:p w:rsidR="00B01293" w:rsidRPr="000767FC" w:rsidRDefault="00B01293" w:rsidP="00B01293">
            <w:r w:rsidRPr="000767FC">
              <w:lastRenderedPageBreak/>
              <w:t>d.6.2.3 Estudios sobre otros efectos nocivos en el medio ambiente</w:t>
            </w:r>
            <w:r w:rsidRPr="00297EE3">
              <w:rPr>
                <w:rStyle w:val="Refdenotaalfinal"/>
                <w:b/>
              </w:rPr>
              <w:endnoteReference w:id="22"/>
            </w:r>
          </w:p>
        </w:tc>
        <w:tc>
          <w:tcPr>
            <w:tcW w:w="845" w:type="pct"/>
          </w:tcPr>
          <w:p w:rsidR="00B01293" w:rsidRPr="000767FC" w:rsidRDefault="00B01293" w:rsidP="00B01293"/>
        </w:tc>
        <w:tc>
          <w:tcPr>
            <w:tcW w:w="310" w:type="pct"/>
          </w:tcPr>
          <w:p w:rsidR="00B01293" w:rsidRPr="000767FC" w:rsidRDefault="008D6BCF" w:rsidP="00B01293">
            <w:r>
              <w:t>NA</w:t>
            </w:r>
          </w:p>
        </w:tc>
        <w:tc>
          <w:tcPr>
            <w:tcW w:w="795" w:type="pct"/>
          </w:tcPr>
          <w:p w:rsidR="00B01293" w:rsidRPr="000767FC" w:rsidRDefault="00B01293" w:rsidP="00B01293"/>
        </w:tc>
        <w:tc>
          <w:tcPr>
            <w:tcW w:w="557" w:type="pct"/>
          </w:tcPr>
          <w:p w:rsidR="00B01293" w:rsidRPr="000767FC" w:rsidRDefault="00B01293" w:rsidP="00B01293"/>
        </w:tc>
        <w:tc>
          <w:tcPr>
            <w:tcW w:w="1361" w:type="pct"/>
          </w:tcPr>
          <w:p w:rsidR="00B01293" w:rsidRPr="000767FC" w:rsidRDefault="00B01293" w:rsidP="00B01293"/>
        </w:tc>
      </w:tr>
      <w:tr w:rsidR="00B01293" w:rsidRPr="000767FC" w:rsidTr="00B01293">
        <w:tc>
          <w:tcPr>
            <w:tcW w:w="1133" w:type="pct"/>
          </w:tcPr>
          <w:p w:rsidR="00B01293" w:rsidRPr="000767FC" w:rsidRDefault="00B01293" w:rsidP="00B01293">
            <w:r w:rsidRPr="000767FC">
              <w:t>Otros (Adjuntar las filas necesarias si se presentan estudios adicionales)</w:t>
            </w:r>
          </w:p>
        </w:tc>
        <w:tc>
          <w:tcPr>
            <w:tcW w:w="845" w:type="pct"/>
          </w:tcPr>
          <w:p w:rsidR="00B01293" w:rsidRPr="000767FC" w:rsidRDefault="00B01293" w:rsidP="00B01293"/>
        </w:tc>
        <w:tc>
          <w:tcPr>
            <w:tcW w:w="310" w:type="pct"/>
          </w:tcPr>
          <w:p w:rsidR="00B01293" w:rsidRPr="000767FC" w:rsidRDefault="008D6BCF" w:rsidP="00B01293">
            <w:r>
              <w:t>NA</w:t>
            </w:r>
          </w:p>
        </w:tc>
        <w:tc>
          <w:tcPr>
            <w:tcW w:w="795" w:type="pct"/>
          </w:tcPr>
          <w:p w:rsidR="00B01293" w:rsidRPr="000767FC" w:rsidRDefault="00B01293" w:rsidP="00B01293"/>
        </w:tc>
        <w:tc>
          <w:tcPr>
            <w:tcW w:w="557" w:type="pct"/>
          </w:tcPr>
          <w:p w:rsidR="00B01293" w:rsidRPr="000767FC" w:rsidRDefault="00B01293" w:rsidP="00B01293"/>
        </w:tc>
        <w:tc>
          <w:tcPr>
            <w:tcW w:w="1361" w:type="pct"/>
          </w:tcPr>
          <w:p w:rsidR="00B01293" w:rsidRPr="000767FC" w:rsidRDefault="00B01293" w:rsidP="00B01293"/>
        </w:tc>
      </w:tr>
    </w:tbl>
    <w:p w:rsidR="00860DDD" w:rsidRPr="000767FC" w:rsidRDefault="00860DDD" w:rsidP="00860DDD">
      <w:pPr>
        <w:spacing w:after="0"/>
      </w:pPr>
    </w:p>
    <w:p w:rsidR="000C5A65" w:rsidRPr="000767FC" w:rsidRDefault="000C5A65" w:rsidP="00860DDD">
      <w:pPr>
        <w:spacing w:after="0"/>
      </w:pPr>
      <w:r w:rsidRPr="000767FC">
        <w:t>Además de la información que se compilará en el Cuadro 1 sobre el ingrediente activo a registrar, para poder completar la Evaluación de Riesgo Ambiental, se requiere la siguiente información</w:t>
      </w:r>
      <w:r w:rsidR="00861CE8" w:rsidRPr="000767FC">
        <w:t xml:space="preserve"> del (los) producto(s) formulados que se pretenda registrar con base en este IAGT</w:t>
      </w:r>
      <w:r w:rsidRPr="000767FC">
        <w:t>:</w:t>
      </w:r>
    </w:p>
    <w:p w:rsidR="006B4034" w:rsidRPr="000767FC" w:rsidRDefault="006B4034" w:rsidP="00860DDD">
      <w:pPr>
        <w:spacing w:after="0"/>
      </w:pPr>
    </w:p>
    <w:p w:rsidR="000C5A65" w:rsidRPr="000767FC" w:rsidRDefault="000C5A65" w:rsidP="004608CF">
      <w:pPr>
        <w:spacing w:after="0" w:line="240" w:lineRule="auto"/>
      </w:pPr>
      <w:r w:rsidRPr="000767FC">
        <w:rPr>
          <w:b/>
        </w:rPr>
        <w:t>Cuadro 2.</w:t>
      </w:r>
      <w:r w:rsidRPr="000767FC">
        <w:t xml:space="preserve"> Datos de interés para el MINAE sobre el (los) formulado(s) que solicitan registro al amparo del IAGT cuya información se indicó en el cuadro </w:t>
      </w:r>
      <w:r w:rsidR="004E3DF0" w:rsidRPr="000767FC">
        <w:t>1</w:t>
      </w:r>
      <w:r w:rsidRPr="000767FC">
        <w:t>.</w:t>
      </w:r>
    </w:p>
    <w:tbl>
      <w:tblPr>
        <w:tblStyle w:val="Tablaconcuadrcula"/>
        <w:tblW w:w="0" w:type="auto"/>
        <w:tblLook w:val="04A0" w:firstRow="1" w:lastRow="0" w:firstColumn="1" w:lastColumn="0" w:noHBand="0" w:noVBand="1"/>
      </w:tblPr>
      <w:tblGrid>
        <w:gridCol w:w="3036"/>
        <w:gridCol w:w="2773"/>
        <w:gridCol w:w="2949"/>
        <w:gridCol w:w="2949"/>
        <w:gridCol w:w="2961"/>
      </w:tblGrid>
      <w:tr w:rsidR="00A60D8F" w:rsidRPr="000767FC" w:rsidTr="00A60D8F">
        <w:tc>
          <w:tcPr>
            <w:tcW w:w="3036" w:type="dxa"/>
            <w:shd w:val="clear" w:color="auto" w:fill="8DB3E2" w:themeFill="text2" w:themeFillTint="66"/>
          </w:tcPr>
          <w:p w:rsidR="00A60D8F" w:rsidRPr="00297EE3" w:rsidRDefault="00A60D8F" w:rsidP="00297EE3">
            <w:pPr>
              <w:jc w:val="center"/>
              <w:rPr>
                <w:b/>
              </w:rPr>
            </w:pPr>
            <w:r w:rsidRPr="00297EE3">
              <w:rPr>
                <w:b/>
              </w:rPr>
              <w:t>Formulado</w:t>
            </w:r>
          </w:p>
        </w:tc>
        <w:tc>
          <w:tcPr>
            <w:tcW w:w="2773" w:type="dxa"/>
            <w:shd w:val="clear" w:color="auto" w:fill="8DB3E2" w:themeFill="text2" w:themeFillTint="66"/>
          </w:tcPr>
          <w:p w:rsidR="00A60D8F" w:rsidRPr="00297EE3" w:rsidRDefault="00A60D8F" w:rsidP="00297EE3">
            <w:pPr>
              <w:jc w:val="center"/>
              <w:rPr>
                <w:b/>
              </w:rPr>
            </w:pPr>
            <w:r>
              <w:rPr>
                <w:b/>
              </w:rPr>
              <w:t>Certificado de composición</w:t>
            </w:r>
          </w:p>
        </w:tc>
        <w:tc>
          <w:tcPr>
            <w:tcW w:w="2949" w:type="dxa"/>
            <w:shd w:val="clear" w:color="auto" w:fill="8DB3E2" w:themeFill="text2" w:themeFillTint="66"/>
          </w:tcPr>
          <w:p w:rsidR="00A60D8F" w:rsidRPr="00297EE3" w:rsidRDefault="00A60D8F" w:rsidP="00297EE3">
            <w:pPr>
              <w:jc w:val="center"/>
              <w:rPr>
                <w:b/>
              </w:rPr>
            </w:pPr>
            <w:r w:rsidRPr="00297EE3">
              <w:rPr>
                <w:b/>
              </w:rPr>
              <w:t>Panfleto</w:t>
            </w:r>
          </w:p>
        </w:tc>
        <w:tc>
          <w:tcPr>
            <w:tcW w:w="2949" w:type="dxa"/>
            <w:shd w:val="clear" w:color="auto" w:fill="8DB3E2" w:themeFill="text2" w:themeFillTint="66"/>
          </w:tcPr>
          <w:p w:rsidR="00A60D8F" w:rsidRPr="00297EE3" w:rsidRDefault="00A60D8F" w:rsidP="00297EE3">
            <w:pPr>
              <w:jc w:val="center"/>
              <w:rPr>
                <w:b/>
              </w:rPr>
            </w:pPr>
            <w:r w:rsidRPr="00297EE3">
              <w:rPr>
                <w:b/>
              </w:rPr>
              <w:t>Etiqueta</w:t>
            </w:r>
          </w:p>
        </w:tc>
        <w:tc>
          <w:tcPr>
            <w:tcW w:w="2961" w:type="dxa"/>
            <w:shd w:val="clear" w:color="auto" w:fill="8DB3E2" w:themeFill="text2" w:themeFillTint="66"/>
          </w:tcPr>
          <w:p w:rsidR="00A60D8F" w:rsidRPr="00297EE3" w:rsidRDefault="00A60D8F" w:rsidP="00297EE3">
            <w:pPr>
              <w:jc w:val="center"/>
              <w:rPr>
                <w:b/>
              </w:rPr>
            </w:pPr>
            <w:r w:rsidRPr="00297EE3">
              <w:rPr>
                <w:b/>
              </w:rPr>
              <w:t>Estudio de Eficacia biológica</w:t>
            </w:r>
          </w:p>
        </w:tc>
      </w:tr>
      <w:tr w:rsidR="00A60D8F" w:rsidRPr="000767FC" w:rsidTr="00A60D8F">
        <w:tc>
          <w:tcPr>
            <w:tcW w:w="3036" w:type="dxa"/>
          </w:tcPr>
          <w:p w:rsidR="00A60D8F" w:rsidRPr="000767FC" w:rsidRDefault="00A60D8F">
            <w:r w:rsidRPr="000767FC">
              <w:t>Nombre</w:t>
            </w:r>
          </w:p>
        </w:tc>
        <w:tc>
          <w:tcPr>
            <w:tcW w:w="2773" w:type="dxa"/>
          </w:tcPr>
          <w:p w:rsidR="00A60D8F" w:rsidRPr="000767FC" w:rsidRDefault="00A60D8F"/>
        </w:tc>
        <w:tc>
          <w:tcPr>
            <w:tcW w:w="2949" w:type="dxa"/>
          </w:tcPr>
          <w:p w:rsidR="00A60D8F" w:rsidRPr="000767FC" w:rsidRDefault="00A60D8F"/>
        </w:tc>
        <w:tc>
          <w:tcPr>
            <w:tcW w:w="2949" w:type="dxa"/>
          </w:tcPr>
          <w:p w:rsidR="00A60D8F" w:rsidRPr="000767FC" w:rsidRDefault="00A60D8F"/>
        </w:tc>
        <w:tc>
          <w:tcPr>
            <w:tcW w:w="2961" w:type="dxa"/>
          </w:tcPr>
          <w:p w:rsidR="00A60D8F" w:rsidRPr="000767FC" w:rsidRDefault="00A60D8F"/>
        </w:tc>
      </w:tr>
      <w:tr w:rsidR="00A60D8F" w:rsidRPr="000767FC" w:rsidTr="00A60D8F">
        <w:tc>
          <w:tcPr>
            <w:tcW w:w="3036" w:type="dxa"/>
          </w:tcPr>
          <w:p w:rsidR="00A60D8F" w:rsidRPr="000767FC" w:rsidRDefault="00A60D8F">
            <w:r w:rsidRPr="000767FC">
              <w:t>Composición</w:t>
            </w:r>
          </w:p>
        </w:tc>
        <w:tc>
          <w:tcPr>
            <w:tcW w:w="2773" w:type="dxa"/>
          </w:tcPr>
          <w:p w:rsidR="00A60D8F" w:rsidRPr="000767FC" w:rsidRDefault="00A60D8F"/>
        </w:tc>
        <w:tc>
          <w:tcPr>
            <w:tcW w:w="2949" w:type="dxa"/>
          </w:tcPr>
          <w:p w:rsidR="00A60D8F" w:rsidRPr="000767FC" w:rsidRDefault="00A60D8F"/>
        </w:tc>
        <w:tc>
          <w:tcPr>
            <w:tcW w:w="2949" w:type="dxa"/>
          </w:tcPr>
          <w:p w:rsidR="00A60D8F" w:rsidRPr="000767FC" w:rsidRDefault="00A60D8F"/>
        </w:tc>
        <w:tc>
          <w:tcPr>
            <w:tcW w:w="2961" w:type="dxa"/>
          </w:tcPr>
          <w:p w:rsidR="00A60D8F" w:rsidRPr="000767FC" w:rsidRDefault="00A60D8F"/>
        </w:tc>
      </w:tr>
      <w:tr w:rsidR="00A60D8F" w:rsidRPr="000767FC" w:rsidTr="00A60D8F">
        <w:tc>
          <w:tcPr>
            <w:tcW w:w="3036" w:type="dxa"/>
          </w:tcPr>
          <w:p w:rsidR="00A60D8F" w:rsidRPr="000767FC" w:rsidRDefault="00A60D8F">
            <w:r w:rsidRPr="000767FC">
              <w:t>Tipo de Formulación</w:t>
            </w:r>
          </w:p>
        </w:tc>
        <w:tc>
          <w:tcPr>
            <w:tcW w:w="2773" w:type="dxa"/>
          </w:tcPr>
          <w:p w:rsidR="00A60D8F" w:rsidRPr="000767FC" w:rsidRDefault="00A60D8F"/>
        </w:tc>
        <w:tc>
          <w:tcPr>
            <w:tcW w:w="2949" w:type="dxa"/>
          </w:tcPr>
          <w:p w:rsidR="00A60D8F" w:rsidRPr="000767FC" w:rsidRDefault="00A60D8F"/>
        </w:tc>
        <w:tc>
          <w:tcPr>
            <w:tcW w:w="2949" w:type="dxa"/>
          </w:tcPr>
          <w:p w:rsidR="00A60D8F" w:rsidRPr="000767FC" w:rsidRDefault="00A60D8F"/>
        </w:tc>
        <w:tc>
          <w:tcPr>
            <w:tcW w:w="2961" w:type="dxa"/>
          </w:tcPr>
          <w:p w:rsidR="00A60D8F" w:rsidRPr="000767FC" w:rsidRDefault="00A60D8F"/>
        </w:tc>
      </w:tr>
      <w:tr w:rsidR="00A60D8F" w:rsidRPr="000767FC" w:rsidTr="00A60D8F">
        <w:tc>
          <w:tcPr>
            <w:tcW w:w="3036" w:type="dxa"/>
          </w:tcPr>
          <w:p w:rsidR="00A60D8F" w:rsidRPr="000767FC" w:rsidRDefault="00A60D8F">
            <w:r w:rsidRPr="000767FC">
              <w:t>Cultivo(s)</w:t>
            </w:r>
          </w:p>
        </w:tc>
        <w:tc>
          <w:tcPr>
            <w:tcW w:w="2773" w:type="dxa"/>
          </w:tcPr>
          <w:p w:rsidR="00A60D8F" w:rsidRPr="000767FC" w:rsidRDefault="00A60D8F" w:rsidP="00A60D8F">
            <w:pPr>
              <w:jc w:val="center"/>
            </w:pPr>
            <w:r>
              <w:t>NA</w:t>
            </w:r>
          </w:p>
        </w:tc>
        <w:tc>
          <w:tcPr>
            <w:tcW w:w="2949" w:type="dxa"/>
          </w:tcPr>
          <w:p w:rsidR="00A60D8F" w:rsidRPr="000767FC" w:rsidRDefault="00A60D8F"/>
        </w:tc>
        <w:tc>
          <w:tcPr>
            <w:tcW w:w="2949" w:type="dxa"/>
          </w:tcPr>
          <w:p w:rsidR="00A60D8F" w:rsidRPr="000767FC" w:rsidRDefault="00A60D8F"/>
        </w:tc>
        <w:tc>
          <w:tcPr>
            <w:tcW w:w="2961" w:type="dxa"/>
          </w:tcPr>
          <w:p w:rsidR="00A60D8F" w:rsidRPr="000767FC" w:rsidRDefault="00A60D8F"/>
        </w:tc>
      </w:tr>
      <w:tr w:rsidR="00A60D8F" w:rsidRPr="000767FC" w:rsidTr="00A60D8F">
        <w:tc>
          <w:tcPr>
            <w:tcW w:w="3036" w:type="dxa"/>
          </w:tcPr>
          <w:p w:rsidR="00A60D8F" w:rsidRPr="000767FC" w:rsidRDefault="00A60D8F">
            <w:r w:rsidRPr="000767FC">
              <w:t>Plaga(s)</w:t>
            </w:r>
          </w:p>
        </w:tc>
        <w:tc>
          <w:tcPr>
            <w:tcW w:w="2773" w:type="dxa"/>
          </w:tcPr>
          <w:p w:rsidR="00A60D8F" w:rsidRPr="000767FC" w:rsidRDefault="00A60D8F" w:rsidP="00A60D8F">
            <w:pPr>
              <w:jc w:val="center"/>
            </w:pPr>
            <w:r>
              <w:t>NA</w:t>
            </w:r>
          </w:p>
        </w:tc>
        <w:tc>
          <w:tcPr>
            <w:tcW w:w="2949" w:type="dxa"/>
          </w:tcPr>
          <w:p w:rsidR="00A60D8F" w:rsidRPr="000767FC" w:rsidRDefault="00A60D8F"/>
        </w:tc>
        <w:tc>
          <w:tcPr>
            <w:tcW w:w="2949" w:type="dxa"/>
          </w:tcPr>
          <w:p w:rsidR="00A60D8F" w:rsidRPr="000767FC" w:rsidRDefault="00A60D8F"/>
        </w:tc>
        <w:tc>
          <w:tcPr>
            <w:tcW w:w="2961" w:type="dxa"/>
          </w:tcPr>
          <w:p w:rsidR="00A60D8F" w:rsidRPr="000767FC" w:rsidRDefault="00A60D8F"/>
        </w:tc>
      </w:tr>
      <w:tr w:rsidR="00A60D8F" w:rsidRPr="000767FC" w:rsidTr="00A60D8F">
        <w:tc>
          <w:tcPr>
            <w:tcW w:w="3036" w:type="dxa"/>
          </w:tcPr>
          <w:p w:rsidR="00A60D8F" w:rsidRPr="000767FC" w:rsidRDefault="00A60D8F">
            <w:r w:rsidRPr="000767FC">
              <w:t>Época de aplicación</w:t>
            </w:r>
          </w:p>
        </w:tc>
        <w:tc>
          <w:tcPr>
            <w:tcW w:w="2773" w:type="dxa"/>
          </w:tcPr>
          <w:p w:rsidR="00A60D8F" w:rsidRPr="000767FC" w:rsidRDefault="00A60D8F" w:rsidP="00A60D8F">
            <w:pPr>
              <w:jc w:val="center"/>
            </w:pPr>
            <w:r>
              <w:t>NA</w:t>
            </w:r>
          </w:p>
        </w:tc>
        <w:tc>
          <w:tcPr>
            <w:tcW w:w="2949" w:type="dxa"/>
          </w:tcPr>
          <w:p w:rsidR="00A60D8F" w:rsidRPr="000767FC" w:rsidRDefault="00A60D8F"/>
        </w:tc>
        <w:tc>
          <w:tcPr>
            <w:tcW w:w="2949" w:type="dxa"/>
          </w:tcPr>
          <w:p w:rsidR="00A60D8F" w:rsidRPr="000767FC" w:rsidRDefault="00A60D8F"/>
        </w:tc>
        <w:tc>
          <w:tcPr>
            <w:tcW w:w="2961" w:type="dxa"/>
          </w:tcPr>
          <w:p w:rsidR="00A60D8F" w:rsidRPr="000767FC" w:rsidRDefault="00A60D8F"/>
        </w:tc>
      </w:tr>
      <w:tr w:rsidR="00A60D8F" w:rsidRPr="000767FC" w:rsidTr="00A60D8F">
        <w:tc>
          <w:tcPr>
            <w:tcW w:w="3036" w:type="dxa"/>
          </w:tcPr>
          <w:p w:rsidR="00A60D8F" w:rsidRPr="000767FC" w:rsidRDefault="00A60D8F">
            <w:r w:rsidRPr="000767FC">
              <w:t>Dosis</w:t>
            </w:r>
          </w:p>
        </w:tc>
        <w:tc>
          <w:tcPr>
            <w:tcW w:w="2773" w:type="dxa"/>
          </w:tcPr>
          <w:p w:rsidR="00A60D8F" w:rsidRPr="000767FC" w:rsidRDefault="00A60D8F" w:rsidP="00A60D8F">
            <w:pPr>
              <w:jc w:val="center"/>
            </w:pPr>
            <w:r>
              <w:t>NA</w:t>
            </w:r>
          </w:p>
        </w:tc>
        <w:tc>
          <w:tcPr>
            <w:tcW w:w="2949" w:type="dxa"/>
          </w:tcPr>
          <w:p w:rsidR="00A60D8F" w:rsidRPr="000767FC" w:rsidRDefault="00A60D8F"/>
        </w:tc>
        <w:tc>
          <w:tcPr>
            <w:tcW w:w="2949" w:type="dxa"/>
          </w:tcPr>
          <w:p w:rsidR="00A60D8F" w:rsidRPr="000767FC" w:rsidRDefault="00A60D8F"/>
        </w:tc>
        <w:tc>
          <w:tcPr>
            <w:tcW w:w="2961" w:type="dxa"/>
          </w:tcPr>
          <w:p w:rsidR="00A60D8F" w:rsidRPr="000767FC" w:rsidRDefault="00A60D8F"/>
        </w:tc>
      </w:tr>
      <w:tr w:rsidR="00A60D8F" w:rsidRPr="000767FC" w:rsidTr="00A60D8F">
        <w:tc>
          <w:tcPr>
            <w:tcW w:w="3036" w:type="dxa"/>
          </w:tcPr>
          <w:p w:rsidR="00A60D8F" w:rsidRPr="000767FC" w:rsidRDefault="00A60D8F">
            <w:r w:rsidRPr="000767FC">
              <w:t>Máximo de aplicaciones (por año o ciclo de cultivo)</w:t>
            </w:r>
          </w:p>
        </w:tc>
        <w:tc>
          <w:tcPr>
            <w:tcW w:w="2773" w:type="dxa"/>
          </w:tcPr>
          <w:p w:rsidR="00A60D8F" w:rsidRPr="000767FC" w:rsidRDefault="00A60D8F" w:rsidP="00A60D8F">
            <w:pPr>
              <w:jc w:val="center"/>
            </w:pPr>
            <w:r>
              <w:t>NA</w:t>
            </w:r>
          </w:p>
        </w:tc>
        <w:tc>
          <w:tcPr>
            <w:tcW w:w="2949" w:type="dxa"/>
          </w:tcPr>
          <w:p w:rsidR="00A60D8F" w:rsidRPr="000767FC" w:rsidRDefault="00A60D8F"/>
        </w:tc>
        <w:tc>
          <w:tcPr>
            <w:tcW w:w="2949" w:type="dxa"/>
          </w:tcPr>
          <w:p w:rsidR="00A60D8F" w:rsidRPr="000767FC" w:rsidRDefault="00A60D8F"/>
        </w:tc>
        <w:tc>
          <w:tcPr>
            <w:tcW w:w="2961" w:type="dxa"/>
          </w:tcPr>
          <w:p w:rsidR="00A60D8F" w:rsidRPr="000767FC" w:rsidRDefault="00A60D8F"/>
        </w:tc>
      </w:tr>
      <w:tr w:rsidR="00A60D8F" w:rsidRPr="000767FC" w:rsidTr="00A60D8F">
        <w:tc>
          <w:tcPr>
            <w:tcW w:w="3036" w:type="dxa"/>
          </w:tcPr>
          <w:p w:rsidR="00A60D8F" w:rsidRPr="000767FC" w:rsidRDefault="00A60D8F">
            <w:r w:rsidRPr="000767FC">
              <w:t>Intervalo entre aplicaciones</w:t>
            </w:r>
          </w:p>
        </w:tc>
        <w:tc>
          <w:tcPr>
            <w:tcW w:w="2773" w:type="dxa"/>
          </w:tcPr>
          <w:p w:rsidR="00A60D8F" w:rsidRPr="000767FC" w:rsidRDefault="00A60D8F" w:rsidP="00A60D8F">
            <w:pPr>
              <w:jc w:val="center"/>
            </w:pPr>
            <w:r>
              <w:t>NA</w:t>
            </w:r>
          </w:p>
        </w:tc>
        <w:tc>
          <w:tcPr>
            <w:tcW w:w="2949" w:type="dxa"/>
          </w:tcPr>
          <w:p w:rsidR="00A60D8F" w:rsidRPr="000767FC" w:rsidRDefault="00A60D8F"/>
        </w:tc>
        <w:tc>
          <w:tcPr>
            <w:tcW w:w="2949" w:type="dxa"/>
          </w:tcPr>
          <w:p w:rsidR="00A60D8F" w:rsidRPr="000767FC" w:rsidRDefault="00A60D8F"/>
        </w:tc>
        <w:tc>
          <w:tcPr>
            <w:tcW w:w="2961" w:type="dxa"/>
          </w:tcPr>
          <w:p w:rsidR="00A60D8F" w:rsidRPr="000767FC" w:rsidRDefault="00A60D8F"/>
        </w:tc>
      </w:tr>
      <w:tr w:rsidR="00A60D8F" w:rsidRPr="000767FC" w:rsidTr="00A60D8F">
        <w:tc>
          <w:tcPr>
            <w:tcW w:w="3036" w:type="dxa"/>
          </w:tcPr>
          <w:p w:rsidR="00A60D8F" w:rsidRPr="000767FC" w:rsidRDefault="00A60D8F">
            <w:r w:rsidRPr="000767FC">
              <w:t>Equipo de aplicación</w:t>
            </w:r>
          </w:p>
        </w:tc>
        <w:tc>
          <w:tcPr>
            <w:tcW w:w="2773" w:type="dxa"/>
          </w:tcPr>
          <w:p w:rsidR="00A60D8F" w:rsidRPr="000767FC" w:rsidRDefault="00A60D8F" w:rsidP="00A60D8F">
            <w:pPr>
              <w:jc w:val="center"/>
            </w:pPr>
            <w:r>
              <w:t>NA</w:t>
            </w:r>
          </w:p>
        </w:tc>
        <w:tc>
          <w:tcPr>
            <w:tcW w:w="2949" w:type="dxa"/>
          </w:tcPr>
          <w:p w:rsidR="00A60D8F" w:rsidRPr="000767FC" w:rsidRDefault="00A60D8F"/>
        </w:tc>
        <w:tc>
          <w:tcPr>
            <w:tcW w:w="2949" w:type="dxa"/>
          </w:tcPr>
          <w:p w:rsidR="00A60D8F" w:rsidRPr="000767FC" w:rsidRDefault="00A60D8F"/>
        </w:tc>
        <w:tc>
          <w:tcPr>
            <w:tcW w:w="2961" w:type="dxa"/>
          </w:tcPr>
          <w:p w:rsidR="00A60D8F" w:rsidRPr="000767FC" w:rsidRDefault="00A60D8F"/>
        </w:tc>
      </w:tr>
    </w:tbl>
    <w:p w:rsidR="004608CF" w:rsidRDefault="004608CF" w:rsidP="004608CF">
      <w:pPr>
        <w:spacing w:after="0"/>
        <w:rPr>
          <w:b/>
        </w:rPr>
      </w:pPr>
    </w:p>
    <w:p w:rsidR="002E3B74" w:rsidRPr="000767FC" w:rsidRDefault="002E3B74">
      <w:pPr>
        <w:rPr>
          <w:b/>
        </w:rPr>
      </w:pPr>
      <w:r w:rsidRPr="000767FC">
        <w:rPr>
          <w:b/>
        </w:rPr>
        <w:t>Observaciones del oficial de registro</w:t>
      </w:r>
      <w:r w:rsidR="004F5BB6" w:rsidRPr="000767FC">
        <w:rPr>
          <w:rStyle w:val="Refdenotaalfinal"/>
          <w:b/>
        </w:rPr>
        <w:endnoteReference w:id="23"/>
      </w:r>
      <w:r w:rsidRPr="000767FC">
        <w:rPr>
          <w:b/>
        </w:rPr>
        <w:t>:</w:t>
      </w:r>
    </w:p>
    <w:p w:rsidR="002E3B74" w:rsidRPr="000767FC" w:rsidRDefault="002E3B74" w:rsidP="002E3B74">
      <w:pPr>
        <w:pStyle w:val="Prrafodelista"/>
        <w:numPr>
          <w:ilvl w:val="0"/>
          <w:numId w:val="1"/>
        </w:numPr>
      </w:pPr>
    </w:p>
    <w:p w:rsidR="002E3B74" w:rsidRPr="000767FC" w:rsidRDefault="002E3B74" w:rsidP="002E3B74">
      <w:pPr>
        <w:pStyle w:val="Prrafodelista"/>
        <w:numPr>
          <w:ilvl w:val="0"/>
          <w:numId w:val="1"/>
        </w:numPr>
      </w:pPr>
    </w:p>
    <w:p w:rsidR="002E3B74" w:rsidRPr="000767FC" w:rsidRDefault="002E3B74" w:rsidP="002E3B74">
      <w:pPr>
        <w:pStyle w:val="Prrafodelista"/>
        <w:numPr>
          <w:ilvl w:val="0"/>
          <w:numId w:val="1"/>
        </w:numPr>
      </w:pPr>
    </w:p>
    <w:sectPr w:rsidR="002E3B74" w:rsidRPr="000767FC" w:rsidSect="00297EE3">
      <w:footnotePr>
        <w:pos w:val="beneathText"/>
      </w:footnotePr>
      <w:endnotePr>
        <w:numFmt w:val="decimal"/>
      </w:endnotePr>
      <w:pgSz w:w="16838" w:h="11906" w:orient="landscape"/>
      <w:pgMar w:top="709" w:right="1080" w:bottom="851"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64ED" w:rsidRDefault="003264ED" w:rsidP="00CE4A54">
      <w:pPr>
        <w:spacing w:after="0" w:line="240" w:lineRule="auto"/>
      </w:pPr>
      <w:r>
        <w:separator/>
      </w:r>
    </w:p>
  </w:endnote>
  <w:endnote w:type="continuationSeparator" w:id="0">
    <w:p w:rsidR="003264ED" w:rsidRDefault="003264ED" w:rsidP="00CE4A54">
      <w:pPr>
        <w:spacing w:after="0" w:line="240" w:lineRule="auto"/>
      </w:pPr>
      <w:r>
        <w:continuationSeparator/>
      </w:r>
    </w:p>
  </w:endnote>
  <w:endnote w:id="1">
    <w:p w:rsidR="009A25BC" w:rsidRPr="00CE4A54" w:rsidRDefault="009A25BC" w:rsidP="007D503D">
      <w:pPr>
        <w:spacing w:after="0" w:line="240" w:lineRule="auto"/>
        <w:ind w:left="284" w:right="-64" w:hanging="284"/>
        <w:jc w:val="both"/>
      </w:pPr>
      <w:r w:rsidRPr="00297EE3">
        <w:rPr>
          <w:rStyle w:val="Refdenotaalfinal"/>
          <w:b/>
          <w:sz w:val="24"/>
          <w:szCs w:val="32"/>
        </w:rPr>
        <w:endnoteRef/>
      </w:r>
      <w:r w:rsidRPr="000767FC">
        <w:rPr>
          <w:sz w:val="32"/>
          <w:szCs w:val="32"/>
        </w:rPr>
        <w:t xml:space="preserve"> </w:t>
      </w:r>
      <w:r w:rsidRPr="00CE4A54">
        <w:rPr>
          <w:sz w:val="20"/>
          <w:szCs w:val="20"/>
          <w:lang w:val="es-CR"/>
        </w:rPr>
        <w:t>Corresponde a los requisitos que se deben revisar para verificar que la información es la misma en todos. Si se presenta más de un estudio para un mismo requisito, favor insertar las filas necesarias en el requisito respectivo.</w:t>
      </w:r>
    </w:p>
  </w:endnote>
  <w:endnote w:id="2">
    <w:p w:rsidR="009A25BC" w:rsidRPr="00422033" w:rsidRDefault="009A25BC" w:rsidP="007D503D">
      <w:pPr>
        <w:spacing w:after="0" w:line="240" w:lineRule="auto"/>
        <w:ind w:left="284" w:right="-64" w:hanging="284"/>
        <w:jc w:val="both"/>
      </w:pPr>
      <w:r w:rsidRPr="00297EE3">
        <w:rPr>
          <w:rStyle w:val="Refdenotaalfinal"/>
          <w:b/>
          <w:sz w:val="24"/>
          <w:szCs w:val="36"/>
        </w:rPr>
        <w:endnoteRef/>
      </w:r>
      <w:r w:rsidRPr="000767FC">
        <w:rPr>
          <w:sz w:val="36"/>
          <w:szCs w:val="36"/>
        </w:rPr>
        <w:t xml:space="preserve"> </w:t>
      </w:r>
      <w:r>
        <w:t xml:space="preserve">Se debe indicar el nombre comercial del IA que está indicado en el documento respectivo. Además, para el caso de la información de la identidad que forma parte del legajo técnico se debe indicar el nombre y los sinónimos que se aporten. Si algún documento presenta un nombre diferente al de la sustancia que se pretende registrar, </w:t>
      </w:r>
      <w:r>
        <w:rPr>
          <w:lang w:val="es-CR"/>
        </w:rPr>
        <w:t>se debe solicitar la aclaración a la em</w:t>
      </w:r>
      <w:r w:rsidR="005652EB">
        <w:rPr>
          <w:lang w:val="es-CR"/>
        </w:rPr>
        <w:t>presa o rechazar la información, por ejemplo, los estudios con formulados no se aceptan para cubrir los requisitos del IAGT. Otro caso común es que el nombre venga con un código, si es así, la empresa registrante debió indicar todos los códigos correspond</w:t>
      </w:r>
      <w:r w:rsidR="007E348F">
        <w:rPr>
          <w:lang w:val="es-CR"/>
        </w:rPr>
        <w:t xml:space="preserve">ientes al producto a registrar </w:t>
      </w:r>
      <w:r w:rsidR="005652EB">
        <w:rPr>
          <w:lang w:val="es-CR"/>
        </w:rPr>
        <w:t>y el oficial de registro deberá hacer las aclaraciones respectivas en el apartado de observaciones. “Según consta en el folio XXXX, los códigos A, B y C corresponden a la sustancia a registrar”.</w:t>
      </w:r>
    </w:p>
  </w:endnote>
  <w:endnote w:id="3">
    <w:p w:rsidR="009A25BC" w:rsidRPr="00DF290B" w:rsidRDefault="009A25BC" w:rsidP="007D503D">
      <w:pPr>
        <w:spacing w:after="0" w:line="240" w:lineRule="auto"/>
        <w:ind w:left="284" w:right="-64" w:hanging="284"/>
        <w:jc w:val="both"/>
      </w:pPr>
      <w:r w:rsidRPr="00297EE3">
        <w:rPr>
          <w:rStyle w:val="Refdenotaalfinal"/>
          <w:b/>
          <w:sz w:val="24"/>
        </w:rPr>
        <w:endnoteRef/>
      </w:r>
      <w:r w:rsidRPr="00297EE3">
        <w:rPr>
          <w:sz w:val="28"/>
        </w:rPr>
        <w:t xml:space="preserve"> </w:t>
      </w:r>
      <w:r>
        <w:t>Se debe indicar la pureza mínima en el certificado de composición y la pureza indicada en los demás documentos, en la mayoría de los casos se hace necesario consultar el legajo confidencial para verificar la composición. Algunos IA corresponden a la mezcla de isómeros, en estos casos se debe indicar la proporción en la que se encuentran estos isómeros en la sustancia. Si la pureza en alguno de los estudios es menor a la indicada en el certificado de composición o la proporción de isómeros se encuentra por fuera del rango indicado en el certificado de composición, se debe pedir el criterio de la parte química del SFE. Si este criterio sugiere que la pureza o proporción de isómeros no corresponde con la sustancia a registrar se debe</w:t>
      </w:r>
      <w:r w:rsidRPr="009168E7">
        <w:rPr>
          <w:lang w:val="es-CR"/>
        </w:rPr>
        <w:t xml:space="preserve"> </w:t>
      </w:r>
      <w:r>
        <w:rPr>
          <w:lang w:val="es-CR"/>
        </w:rPr>
        <w:t>solicitar la aclaración a la empresa o rechazar la información.</w:t>
      </w:r>
    </w:p>
  </w:endnote>
  <w:endnote w:id="4">
    <w:p w:rsidR="009A25BC" w:rsidRPr="00CE4A54" w:rsidRDefault="009A25BC" w:rsidP="007D503D">
      <w:pPr>
        <w:spacing w:after="0" w:line="240" w:lineRule="auto"/>
        <w:ind w:left="284" w:right="-64" w:hanging="284"/>
        <w:jc w:val="both"/>
        <w:rPr>
          <w:lang w:val="es-CR"/>
        </w:rPr>
      </w:pPr>
      <w:r w:rsidRPr="00297EE3">
        <w:rPr>
          <w:rStyle w:val="Refdenotaalfinal"/>
          <w:b/>
          <w:sz w:val="24"/>
        </w:rPr>
        <w:endnoteRef/>
      </w:r>
      <w:r w:rsidRPr="00297EE3">
        <w:rPr>
          <w:b/>
          <w:sz w:val="24"/>
        </w:rPr>
        <w:t xml:space="preserve"> </w:t>
      </w:r>
      <w:r>
        <w:rPr>
          <w:lang w:val="es-CR"/>
        </w:rPr>
        <w:t>Corresponde con el registrante y/o fabricante. Si el fabricante, registrante y patrocinador no coinciden, se debe revisar si se incluyó una carta de autorización para utilizar la información dentro de la solicitud de registro o en el expediente de la empresa.</w:t>
      </w:r>
      <w:r w:rsidR="005652EB">
        <w:rPr>
          <w:lang w:val="es-CR"/>
        </w:rPr>
        <w:t xml:space="preserve"> Si esta aclaración existe en el expediente</w:t>
      </w:r>
      <w:r w:rsidR="00BE707D">
        <w:rPr>
          <w:lang w:val="es-CR"/>
        </w:rPr>
        <w:t xml:space="preserve"> (o una vez que se realice)</w:t>
      </w:r>
      <w:r w:rsidR="005652EB">
        <w:rPr>
          <w:lang w:val="es-CR"/>
        </w:rPr>
        <w:t xml:space="preserve">, el oficial de registro deberá anotarlo en el apartado de observaciones, por ejemplo: “Según consta en el folio XXXX, las empresas A,B y C mencionadas como patrocinadores pertenecen o autorizaron a la compañía registrante para el uso de la información”. </w:t>
      </w:r>
      <w:r>
        <w:rPr>
          <w:lang w:val="es-CR"/>
        </w:rPr>
        <w:t>De lo contrario se debe solicitar la aclaración a la empresa o rechazar la información.</w:t>
      </w:r>
    </w:p>
  </w:endnote>
  <w:endnote w:id="5">
    <w:p w:rsidR="009A25BC" w:rsidRPr="009168E7" w:rsidRDefault="009A25BC" w:rsidP="00297EE3">
      <w:pPr>
        <w:pStyle w:val="Textonotaalfinal"/>
        <w:ind w:right="-64"/>
        <w:jc w:val="both"/>
      </w:pPr>
      <w:r w:rsidRPr="00297EE3">
        <w:rPr>
          <w:rStyle w:val="Refdenotaalfinal"/>
          <w:b/>
          <w:sz w:val="24"/>
        </w:rPr>
        <w:endnoteRef/>
      </w:r>
      <w:r w:rsidRPr="00297EE3">
        <w:rPr>
          <w:b/>
          <w:sz w:val="24"/>
        </w:rPr>
        <w:t xml:space="preserve"> </w:t>
      </w:r>
      <w:r>
        <w:t>Indicar los folios (de principio a fin) donde se encuentra el requisito.</w:t>
      </w:r>
    </w:p>
  </w:endnote>
  <w:endnote w:id="6">
    <w:p w:rsidR="009A25BC" w:rsidRPr="009168E7" w:rsidRDefault="009A25BC" w:rsidP="00297EE3">
      <w:pPr>
        <w:pStyle w:val="Textonotaalfinal"/>
        <w:ind w:right="-64"/>
        <w:jc w:val="both"/>
      </w:pPr>
      <w:r w:rsidRPr="00297EE3">
        <w:rPr>
          <w:rStyle w:val="Refdenotaalfinal"/>
          <w:b/>
          <w:sz w:val="24"/>
        </w:rPr>
        <w:endnoteRef/>
      </w:r>
      <w:r w:rsidRPr="000767FC">
        <w:rPr>
          <w:sz w:val="32"/>
        </w:rPr>
        <w:t xml:space="preserve"> </w:t>
      </w:r>
      <w:r>
        <w:t>Esta información se extrae generalmente de la portada del estudio.</w:t>
      </w:r>
    </w:p>
  </w:endnote>
  <w:endnote w:id="7">
    <w:p w:rsidR="009A25BC" w:rsidRDefault="009A25BC" w:rsidP="00297EE3">
      <w:pPr>
        <w:pStyle w:val="Textonotaalfinal"/>
        <w:ind w:right="-64"/>
        <w:jc w:val="both"/>
      </w:pPr>
      <w:r w:rsidRPr="00297EE3">
        <w:rPr>
          <w:rStyle w:val="Refdenotaalfinal"/>
          <w:b/>
          <w:sz w:val="24"/>
        </w:rPr>
        <w:endnoteRef/>
      </w:r>
      <w:r w:rsidRPr="00297EE3">
        <w:rPr>
          <w:b/>
          <w:sz w:val="24"/>
        </w:rPr>
        <w:t xml:space="preserve"> </w:t>
      </w:r>
      <w:r>
        <w:t>Este estudio generalmente se llama “</w:t>
      </w:r>
      <w:proofErr w:type="spellStart"/>
      <w:r>
        <w:t>Dietary</w:t>
      </w:r>
      <w:proofErr w:type="spellEnd"/>
      <w:r>
        <w:t xml:space="preserve"> </w:t>
      </w:r>
      <w:proofErr w:type="spellStart"/>
      <w:r>
        <w:t>toxicity</w:t>
      </w:r>
      <w:proofErr w:type="spellEnd"/>
      <w:r>
        <w:t xml:space="preserve">” o “short </w:t>
      </w:r>
      <w:proofErr w:type="spellStart"/>
      <w:r>
        <w:t>term</w:t>
      </w:r>
      <w:proofErr w:type="spellEnd"/>
      <w:r>
        <w:t xml:space="preserve"> </w:t>
      </w:r>
      <w:proofErr w:type="spellStart"/>
      <w:r>
        <w:t>toxicidty</w:t>
      </w:r>
      <w:proofErr w:type="spellEnd"/>
      <w:r>
        <w:t xml:space="preserve"> </w:t>
      </w:r>
      <w:proofErr w:type="spellStart"/>
      <w:r>
        <w:t>study</w:t>
      </w:r>
      <w:proofErr w:type="spellEnd"/>
      <w:r>
        <w:t>”</w:t>
      </w:r>
    </w:p>
  </w:endnote>
  <w:endnote w:id="8">
    <w:p w:rsidR="009A25BC" w:rsidRDefault="009A25BC" w:rsidP="007D503D">
      <w:pPr>
        <w:spacing w:after="0" w:line="240" w:lineRule="auto"/>
        <w:ind w:left="284" w:right="-64" w:hanging="284"/>
        <w:jc w:val="both"/>
      </w:pPr>
      <w:r w:rsidRPr="00297EE3">
        <w:rPr>
          <w:b/>
          <w:sz w:val="24"/>
          <w:vertAlign w:val="superscript"/>
        </w:rPr>
        <w:endnoteRef/>
      </w:r>
      <w:r w:rsidRPr="00297EE3">
        <w:rPr>
          <w:b/>
          <w:vertAlign w:val="superscript"/>
        </w:rPr>
        <w:t xml:space="preserve"> </w:t>
      </w:r>
      <w:r w:rsidRPr="00297EE3">
        <w:t>Esta información no la solicitamos</w:t>
      </w:r>
      <w:r w:rsidR="00B87BAE" w:rsidRPr="00297EE3">
        <w:t xml:space="preserve">. </w:t>
      </w:r>
      <w:r w:rsidR="000D5B81" w:rsidRPr="00297EE3">
        <w:t>Ese requisito se quedó por error cuando hicieron el reglamento, nadie tiene estudios en animales domésticos, excepto los que se realizan con perros en la parte toxicológica, pero nosotros no los ocupamos.</w:t>
      </w:r>
      <w:r w:rsidR="000D5B81">
        <w:rPr>
          <w:color w:val="FF0000"/>
        </w:rPr>
        <w:t xml:space="preserve"> </w:t>
      </w:r>
    </w:p>
  </w:endnote>
  <w:endnote w:id="9">
    <w:p w:rsidR="009A25BC" w:rsidRPr="00CE4A54" w:rsidRDefault="009A25BC" w:rsidP="007D503D">
      <w:pPr>
        <w:spacing w:after="0" w:line="240" w:lineRule="auto"/>
        <w:ind w:left="284" w:right="-64" w:hanging="284"/>
        <w:jc w:val="both"/>
      </w:pPr>
      <w:r w:rsidRPr="00297EE3">
        <w:rPr>
          <w:rStyle w:val="Refdenotaalfinal"/>
          <w:b/>
          <w:sz w:val="24"/>
          <w:szCs w:val="24"/>
        </w:rPr>
        <w:endnoteRef/>
      </w:r>
      <w:r>
        <w:t xml:space="preserve"> </w:t>
      </w:r>
      <w:r w:rsidRPr="00CE4A54">
        <w:rPr>
          <w:sz w:val="20"/>
          <w:szCs w:val="20"/>
          <w:lang w:val="es-CR"/>
        </w:rPr>
        <w:t>En algunos casos estos d</w:t>
      </w:r>
      <w:r>
        <w:rPr>
          <w:sz w:val="20"/>
          <w:szCs w:val="20"/>
          <w:lang w:val="es-CR"/>
        </w:rPr>
        <w:t xml:space="preserve">os requisitos se presentan en </w:t>
      </w:r>
      <w:r w:rsidR="0025232E">
        <w:rPr>
          <w:sz w:val="20"/>
          <w:szCs w:val="20"/>
          <w:lang w:val="es-CR"/>
        </w:rPr>
        <w:t xml:space="preserve">un </w:t>
      </w:r>
      <w:r>
        <w:rPr>
          <w:sz w:val="20"/>
          <w:szCs w:val="20"/>
          <w:lang w:val="es-CR"/>
        </w:rPr>
        <w:t>solo estudio, que podría ser el estudio de estadíos tempranos (“</w:t>
      </w:r>
      <w:proofErr w:type="spellStart"/>
      <w:r>
        <w:rPr>
          <w:sz w:val="20"/>
          <w:szCs w:val="20"/>
          <w:lang w:val="es-CR"/>
        </w:rPr>
        <w:t>early</w:t>
      </w:r>
      <w:proofErr w:type="spellEnd"/>
      <w:r>
        <w:rPr>
          <w:sz w:val="20"/>
          <w:szCs w:val="20"/>
          <w:lang w:val="es-CR"/>
        </w:rPr>
        <w:t xml:space="preserve"> </w:t>
      </w:r>
      <w:proofErr w:type="spellStart"/>
      <w:r>
        <w:rPr>
          <w:sz w:val="20"/>
          <w:szCs w:val="20"/>
          <w:lang w:val="es-CR"/>
        </w:rPr>
        <w:t>life</w:t>
      </w:r>
      <w:proofErr w:type="spellEnd"/>
      <w:r>
        <w:rPr>
          <w:sz w:val="20"/>
          <w:szCs w:val="20"/>
          <w:lang w:val="es-CR"/>
        </w:rPr>
        <w:t xml:space="preserve"> </w:t>
      </w:r>
      <w:proofErr w:type="spellStart"/>
      <w:r>
        <w:rPr>
          <w:sz w:val="20"/>
          <w:szCs w:val="20"/>
          <w:lang w:val="es-CR"/>
        </w:rPr>
        <w:t>stages</w:t>
      </w:r>
      <w:proofErr w:type="spellEnd"/>
      <w:r>
        <w:rPr>
          <w:sz w:val="20"/>
          <w:szCs w:val="20"/>
          <w:lang w:val="es-CR"/>
        </w:rPr>
        <w:t xml:space="preserve">”) o el estudio de ciclo de vida completo. La </w:t>
      </w:r>
      <w:r w:rsidR="0025232E">
        <w:rPr>
          <w:sz w:val="20"/>
          <w:szCs w:val="20"/>
          <w:lang w:val="es-CR"/>
        </w:rPr>
        <w:t xml:space="preserve">valoración de la </w:t>
      </w:r>
      <w:r>
        <w:rPr>
          <w:sz w:val="20"/>
          <w:szCs w:val="20"/>
          <w:lang w:val="es-CR"/>
        </w:rPr>
        <w:t>validez de estos estudio</w:t>
      </w:r>
      <w:r w:rsidR="006500E8">
        <w:rPr>
          <w:sz w:val="20"/>
          <w:szCs w:val="20"/>
          <w:lang w:val="es-CR"/>
        </w:rPr>
        <w:t>s</w:t>
      </w:r>
      <w:r>
        <w:rPr>
          <w:sz w:val="20"/>
          <w:szCs w:val="20"/>
          <w:lang w:val="es-CR"/>
        </w:rPr>
        <w:t xml:space="preserve"> </w:t>
      </w:r>
      <w:r w:rsidR="006500E8">
        <w:rPr>
          <w:sz w:val="20"/>
          <w:szCs w:val="20"/>
          <w:lang w:val="es-CR"/>
        </w:rPr>
        <w:t xml:space="preserve">le </w:t>
      </w:r>
      <w:r>
        <w:rPr>
          <w:sz w:val="20"/>
          <w:szCs w:val="20"/>
          <w:lang w:val="es-CR"/>
        </w:rPr>
        <w:t>corresponde al MINAE ya que</w:t>
      </w:r>
      <w:r w:rsidR="0025232E">
        <w:rPr>
          <w:sz w:val="20"/>
          <w:szCs w:val="20"/>
          <w:lang w:val="es-CR"/>
        </w:rPr>
        <w:t>,</w:t>
      </w:r>
      <w:r>
        <w:rPr>
          <w:sz w:val="20"/>
          <w:szCs w:val="20"/>
          <w:lang w:val="es-CR"/>
        </w:rPr>
        <w:t xml:space="preserve"> según sea el caso</w:t>
      </w:r>
      <w:r w:rsidR="0025232E">
        <w:rPr>
          <w:sz w:val="20"/>
          <w:szCs w:val="20"/>
          <w:lang w:val="es-CR"/>
        </w:rPr>
        <w:t>,</w:t>
      </w:r>
      <w:r>
        <w:rPr>
          <w:sz w:val="20"/>
          <w:szCs w:val="20"/>
          <w:lang w:val="es-CR"/>
        </w:rPr>
        <w:t xml:space="preserve"> se puede aceptar solo uno o se podrá requerir ambos.</w:t>
      </w:r>
    </w:p>
  </w:endnote>
  <w:endnote w:id="10">
    <w:p w:rsidR="009A25BC" w:rsidRPr="009168E7" w:rsidRDefault="009A25BC" w:rsidP="007D503D">
      <w:pPr>
        <w:spacing w:after="0" w:line="240" w:lineRule="auto"/>
        <w:ind w:left="284" w:right="-64" w:hanging="284"/>
        <w:jc w:val="both"/>
      </w:pPr>
      <w:r w:rsidRPr="00297EE3">
        <w:rPr>
          <w:rStyle w:val="Refdenotaalfinal"/>
          <w:b/>
          <w:sz w:val="24"/>
        </w:rPr>
        <w:endnoteRef/>
      </w:r>
      <w:r w:rsidRPr="000767FC">
        <w:rPr>
          <w:sz w:val="32"/>
        </w:rPr>
        <w:t xml:space="preserve"> </w:t>
      </w:r>
      <w:r w:rsidRPr="007D503D">
        <w:t>Este</w:t>
      </w:r>
      <w:r w:rsidRPr="000767FC">
        <w:rPr>
          <w:sz w:val="20"/>
        </w:rPr>
        <w:t xml:space="preserve"> estudio puede no presentarse, siempre y cuando se presente la justificación técnica correspondiente. Según el reglamento este requisito puede ser eximido cuando se pueda justificar que no se da ninguna de las siguientes condiciones: a) Cuando la solubilidad del producto en el agua sea menor a 0,5 y el coeficiente octanol/ agua arroje valores que indiquen potencial de bioacumulación (mayor a 1000). b) El producto es persistente en el agua. C) Si el producto, productos de degradación o metabolitos se acumulan en tejidos de mamíferos o aves.</w:t>
      </w:r>
      <w:r w:rsidR="001B2EA7" w:rsidRPr="000767FC">
        <w:rPr>
          <w:sz w:val="20"/>
        </w:rPr>
        <w:t xml:space="preserve"> En caso de que se presente la justificación para la no presentación de este estudio, se deberá indicar el folio donde se encuentra dicha justificación y se deberá corroborar que se cumplan los condicionantes citados anteriormente.</w:t>
      </w:r>
    </w:p>
  </w:endnote>
  <w:endnote w:id="11">
    <w:p w:rsidR="00207221" w:rsidRDefault="00207221" w:rsidP="00297EE3">
      <w:pPr>
        <w:pStyle w:val="Textonotaalfinal"/>
        <w:ind w:right="-64"/>
        <w:jc w:val="both"/>
      </w:pPr>
      <w:r w:rsidRPr="00297EE3">
        <w:rPr>
          <w:rStyle w:val="Refdenotaalfinal"/>
          <w:b/>
          <w:sz w:val="24"/>
          <w:szCs w:val="32"/>
        </w:rPr>
        <w:endnoteRef/>
      </w:r>
      <w:r w:rsidRPr="00297EE3">
        <w:rPr>
          <w:b/>
          <w:sz w:val="24"/>
          <w:szCs w:val="32"/>
        </w:rPr>
        <w:t xml:space="preserve"> </w:t>
      </w:r>
      <w:r>
        <w:t>A este estudio a veces se le llama “efectos en la reproducción en Daphnia”</w:t>
      </w:r>
    </w:p>
  </w:endnote>
  <w:endnote w:id="12">
    <w:p w:rsidR="00207221" w:rsidRDefault="00207221" w:rsidP="00297EE3">
      <w:pPr>
        <w:pStyle w:val="Textonotaalfinal"/>
        <w:ind w:right="-64"/>
        <w:jc w:val="both"/>
      </w:pPr>
      <w:r w:rsidRPr="00297EE3">
        <w:rPr>
          <w:rStyle w:val="Refdenotaalfinal"/>
          <w:b/>
          <w:sz w:val="24"/>
          <w:szCs w:val="32"/>
        </w:rPr>
        <w:endnoteRef/>
      </w:r>
      <w:r w:rsidRPr="00297EE3">
        <w:rPr>
          <w:b/>
          <w:sz w:val="24"/>
          <w:szCs w:val="32"/>
        </w:rPr>
        <w:t xml:space="preserve"> </w:t>
      </w:r>
      <w:r w:rsidR="000767FC">
        <w:t>E</w:t>
      </w:r>
      <w:r>
        <w:t>ste estudio a veces se le llama “inhibición en el crecimiento de Algas”  también son aceptables los estudios con plantas acuáticas</w:t>
      </w:r>
    </w:p>
  </w:endnote>
  <w:endnote w:id="13">
    <w:p w:rsidR="003C027D" w:rsidRDefault="003C027D" w:rsidP="007D503D">
      <w:pPr>
        <w:spacing w:after="0" w:line="240" w:lineRule="auto"/>
        <w:ind w:left="284" w:right="-64" w:hanging="284"/>
        <w:jc w:val="both"/>
      </w:pPr>
      <w:r w:rsidRPr="00297EE3">
        <w:rPr>
          <w:rStyle w:val="Refdenotaalfinal"/>
          <w:b/>
          <w:sz w:val="24"/>
          <w:szCs w:val="32"/>
        </w:rPr>
        <w:endnoteRef/>
      </w:r>
      <w:r w:rsidRPr="00297EE3">
        <w:rPr>
          <w:b/>
          <w:sz w:val="24"/>
          <w:szCs w:val="32"/>
        </w:rPr>
        <w:t xml:space="preserve"> </w:t>
      </w:r>
      <w:r>
        <w:t>Este estudio generalmente se llama “toxicidad oral y por contacto en abejas” además el requisito pide “estudios en otros artrópodos benéficos”,  pero este estudio solo se pide cuando se trata de un caso especial donde los efectos en insectos son de preocupación o en casos donde se conozca que no hay afectación a las abejas, pero sí a otra especies de insectos.</w:t>
      </w:r>
    </w:p>
  </w:endnote>
  <w:endnote w:id="14">
    <w:p w:rsidR="00B01293" w:rsidRDefault="00B01293" w:rsidP="007D503D">
      <w:pPr>
        <w:spacing w:after="0" w:line="240" w:lineRule="auto"/>
        <w:ind w:left="284" w:right="-64" w:hanging="284"/>
        <w:jc w:val="both"/>
      </w:pPr>
      <w:r w:rsidRPr="00297EE3">
        <w:rPr>
          <w:rStyle w:val="Refdenotaalfinal"/>
          <w:b/>
          <w:sz w:val="24"/>
          <w:szCs w:val="32"/>
        </w:rPr>
        <w:endnoteRef/>
      </w:r>
      <w:r w:rsidRPr="00297EE3">
        <w:rPr>
          <w:b/>
          <w:sz w:val="24"/>
          <w:szCs w:val="32"/>
        </w:rPr>
        <w:t xml:space="preserve"> </w:t>
      </w:r>
      <w:r>
        <w:t>Este estudio normalmente se llama “Efectos en la respiración y nitrificación (o transformación del nitrógeno)”. En algunos casos presentan un estudio de respiración en lodos activado: este estudio no es aceptado para este requisito.</w:t>
      </w:r>
    </w:p>
  </w:endnote>
  <w:endnote w:id="15">
    <w:p w:rsidR="00B01293" w:rsidRDefault="00B01293" w:rsidP="00297EE3">
      <w:pPr>
        <w:pStyle w:val="Textonotaalfinal"/>
        <w:ind w:right="-64"/>
        <w:jc w:val="both"/>
      </w:pPr>
      <w:r w:rsidRPr="00297EE3">
        <w:rPr>
          <w:rStyle w:val="Refdenotaalfinal"/>
          <w:b/>
          <w:sz w:val="24"/>
          <w:szCs w:val="32"/>
        </w:rPr>
        <w:endnoteRef/>
      </w:r>
      <w:r w:rsidRPr="00297EE3">
        <w:rPr>
          <w:b/>
          <w:sz w:val="24"/>
          <w:szCs w:val="32"/>
        </w:rPr>
        <w:t xml:space="preserve"> </w:t>
      </w:r>
      <w:r>
        <w:t>Generalmente se presenta como “estudio de degradación en 3 tipos de suelo…”</w:t>
      </w:r>
    </w:p>
  </w:endnote>
  <w:endnote w:id="16">
    <w:p w:rsidR="00B01293" w:rsidRDefault="00B01293" w:rsidP="007D503D">
      <w:pPr>
        <w:spacing w:after="0" w:line="240" w:lineRule="auto"/>
        <w:ind w:left="284" w:right="-64" w:hanging="284"/>
        <w:jc w:val="both"/>
      </w:pPr>
      <w:r w:rsidRPr="00297EE3">
        <w:rPr>
          <w:rStyle w:val="Refdenotaalfinal"/>
          <w:b/>
          <w:sz w:val="24"/>
        </w:rPr>
        <w:endnoteRef/>
      </w:r>
      <w:r w:rsidRPr="00297EE3">
        <w:rPr>
          <w:b/>
          <w:sz w:val="24"/>
        </w:rPr>
        <w:t xml:space="preserve"> </w:t>
      </w:r>
      <w:r>
        <w:t>Estos estudios a veces no se presentan de manera independiente, ya que el estudio de degradación arroja esta información. Queda a criterio del MINAE la aceptación de la no presentación.</w:t>
      </w:r>
    </w:p>
  </w:endnote>
  <w:endnote w:id="17">
    <w:p w:rsidR="00B01293" w:rsidRDefault="00B01293" w:rsidP="00297EE3">
      <w:pPr>
        <w:pStyle w:val="Textonotaalfinal"/>
        <w:ind w:right="-64"/>
        <w:jc w:val="both"/>
      </w:pPr>
      <w:r w:rsidRPr="00297EE3">
        <w:rPr>
          <w:rStyle w:val="Refdenotaalfinal"/>
          <w:b/>
          <w:sz w:val="24"/>
        </w:rPr>
        <w:endnoteRef/>
      </w:r>
      <w:r w:rsidRPr="00297EE3">
        <w:rPr>
          <w:b/>
          <w:sz w:val="24"/>
        </w:rPr>
        <w:t xml:space="preserve"> </w:t>
      </w:r>
      <w:r>
        <w:t>El estudio de lixiviación no es obligatorio.</w:t>
      </w:r>
    </w:p>
  </w:endnote>
  <w:endnote w:id="18">
    <w:p w:rsidR="00B01293" w:rsidRDefault="00B01293" w:rsidP="00297EE3">
      <w:pPr>
        <w:pStyle w:val="Textonotaalfinal"/>
        <w:ind w:right="-64"/>
        <w:jc w:val="both"/>
      </w:pPr>
      <w:r w:rsidRPr="00297EE3">
        <w:rPr>
          <w:rStyle w:val="Refdenotaalfinal"/>
          <w:b/>
          <w:sz w:val="24"/>
        </w:rPr>
        <w:endnoteRef/>
      </w:r>
      <w:r w:rsidRPr="000767FC">
        <w:rPr>
          <w:sz w:val="32"/>
        </w:rPr>
        <w:t xml:space="preserve"> </w:t>
      </w:r>
      <w:r>
        <w:t>Este estudio no es del MINAE, corresponde a los residuos en plantas tratadas</w:t>
      </w:r>
    </w:p>
  </w:endnote>
  <w:endnote w:id="19">
    <w:p w:rsidR="00B01293" w:rsidRDefault="00B01293" w:rsidP="007D503D">
      <w:pPr>
        <w:spacing w:after="0" w:line="240" w:lineRule="auto"/>
        <w:ind w:left="284" w:right="-64" w:hanging="284"/>
        <w:jc w:val="both"/>
      </w:pPr>
      <w:r w:rsidRPr="00297EE3">
        <w:rPr>
          <w:rStyle w:val="Refdenotaalfinal"/>
          <w:b/>
          <w:sz w:val="24"/>
        </w:rPr>
        <w:endnoteRef/>
      </w:r>
      <w:r w:rsidRPr="00297EE3">
        <w:rPr>
          <w:b/>
          <w:sz w:val="24"/>
        </w:rPr>
        <w:t xml:space="preserve"> </w:t>
      </w:r>
      <w:r>
        <w:t>El estudio que se requiere es el de hidrólisis acuosa, el de hidrólisis en suelo se toma como información adicional que puede incluirse en la parte de degradación en suelo, pero no cubre el requisito.</w:t>
      </w:r>
    </w:p>
  </w:endnote>
  <w:endnote w:id="20">
    <w:p w:rsidR="00B01293" w:rsidRDefault="00B01293" w:rsidP="00297EE3">
      <w:pPr>
        <w:pStyle w:val="Textonotaalfinal"/>
        <w:ind w:right="-64"/>
        <w:jc w:val="both"/>
      </w:pPr>
      <w:r w:rsidRPr="00297EE3">
        <w:rPr>
          <w:rStyle w:val="Refdenotaalfinal"/>
          <w:b/>
          <w:sz w:val="24"/>
        </w:rPr>
        <w:endnoteRef/>
      </w:r>
      <w:r>
        <w:t xml:space="preserve"> Estos estudios son los mismos que se solicitan en la parte de propiedades físico químicas.</w:t>
      </w:r>
    </w:p>
  </w:endnote>
  <w:endnote w:id="21">
    <w:p w:rsidR="00B01293" w:rsidRPr="00A147F7" w:rsidRDefault="00B01293" w:rsidP="007D503D">
      <w:pPr>
        <w:spacing w:after="0" w:line="240" w:lineRule="auto"/>
        <w:ind w:left="284" w:right="-64" w:hanging="284"/>
        <w:jc w:val="both"/>
      </w:pPr>
      <w:r w:rsidRPr="00297EE3">
        <w:rPr>
          <w:rStyle w:val="Refdenotaalfinal"/>
          <w:b/>
          <w:sz w:val="24"/>
        </w:rPr>
        <w:endnoteRef/>
      </w:r>
      <w:r w:rsidRPr="000767FC">
        <w:rPr>
          <w:sz w:val="32"/>
        </w:rPr>
        <w:t xml:space="preserve"> </w:t>
      </w:r>
      <w:r>
        <w:t>Este estudio comúnmente se llama “oxidación atmosférica…”. En otros casos lo confunden con el estudio de propiedades oxidativas que se solicita en las propiedades físico químicas. Este último no es el que se requiere en la parte ambiental.</w:t>
      </w:r>
    </w:p>
  </w:endnote>
  <w:endnote w:id="22">
    <w:p w:rsidR="00B01293" w:rsidRDefault="00B01293" w:rsidP="00297EE3">
      <w:pPr>
        <w:pStyle w:val="Textonotaalfinal"/>
        <w:ind w:right="-64"/>
        <w:jc w:val="both"/>
      </w:pPr>
      <w:r w:rsidRPr="00297EE3">
        <w:rPr>
          <w:rStyle w:val="Refdenotaalfinal"/>
          <w:b/>
          <w:sz w:val="24"/>
        </w:rPr>
        <w:endnoteRef/>
      </w:r>
      <w:r w:rsidRPr="00297EE3">
        <w:rPr>
          <w:b/>
          <w:sz w:val="24"/>
        </w:rPr>
        <w:t xml:space="preserve"> </w:t>
      </w:r>
      <w:r>
        <w:t>Este estudio normalmente no se pide, queda a criterio del MINAE</w:t>
      </w:r>
    </w:p>
  </w:endnote>
  <w:endnote w:id="23">
    <w:p w:rsidR="009A25BC" w:rsidRDefault="009A25BC" w:rsidP="00297EE3">
      <w:pPr>
        <w:pStyle w:val="Textonotaalfinal"/>
        <w:ind w:right="-64"/>
        <w:jc w:val="both"/>
      </w:pPr>
      <w:r w:rsidRPr="00297EE3">
        <w:rPr>
          <w:rStyle w:val="Refdenotaalfinal"/>
          <w:b/>
          <w:sz w:val="24"/>
        </w:rPr>
        <w:endnoteRef/>
      </w:r>
      <w:r w:rsidRPr="000767FC">
        <w:rPr>
          <w:sz w:val="32"/>
        </w:rPr>
        <w:t xml:space="preserve"> </w:t>
      </w:r>
      <w:r>
        <w:t>El oficial de registro deberá indicar todas las inconsistencias que observó y una vez que se hayan aclarado o corregido, deberá indicar cuándo se reali</w:t>
      </w:r>
      <w:r w:rsidR="00736886">
        <w:t>zó la corrección y d</w:t>
      </w:r>
      <w:r w:rsidR="00553BCD">
        <w:t>ó</w:t>
      </w:r>
      <w:r w:rsidR="00736886">
        <w:t>nde consta.</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64ED" w:rsidRDefault="003264ED" w:rsidP="00CE4A54">
      <w:pPr>
        <w:spacing w:after="0" w:line="240" w:lineRule="auto"/>
      </w:pPr>
      <w:r>
        <w:separator/>
      </w:r>
    </w:p>
  </w:footnote>
  <w:footnote w:type="continuationSeparator" w:id="0">
    <w:p w:rsidR="003264ED" w:rsidRDefault="003264ED" w:rsidP="00CE4A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2816B8"/>
    <w:multiLevelType w:val="hybridMultilevel"/>
    <w:tmpl w:val="C67C1000"/>
    <w:lvl w:ilvl="0" w:tplc="2A7E78E2">
      <w:start w:val="1"/>
      <w:numFmt w:val="lowerLetter"/>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66E23133"/>
    <w:multiLevelType w:val="hybridMultilevel"/>
    <w:tmpl w:val="4ECA0442"/>
    <w:lvl w:ilvl="0" w:tplc="3788E776">
      <w:start w:val="98"/>
      <w:numFmt w:val="bullet"/>
      <w:lvlText w:val="-"/>
      <w:lvlJc w:val="left"/>
      <w:pPr>
        <w:ind w:left="720" w:hanging="360"/>
      </w:pPr>
      <w:rPr>
        <w:rFonts w:ascii="Calibri" w:eastAsiaTheme="minorHAnsi" w:hAnsi="Calibri" w:cstheme="minorBidi"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footnotePr>
    <w:pos w:val="beneathTex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820"/>
    <w:rsid w:val="00007E94"/>
    <w:rsid w:val="00023491"/>
    <w:rsid w:val="000327A8"/>
    <w:rsid w:val="00040D0A"/>
    <w:rsid w:val="00041320"/>
    <w:rsid w:val="0004212A"/>
    <w:rsid w:val="00047820"/>
    <w:rsid w:val="00054D28"/>
    <w:rsid w:val="000767FC"/>
    <w:rsid w:val="00085276"/>
    <w:rsid w:val="00095FC3"/>
    <w:rsid w:val="000C5A65"/>
    <w:rsid w:val="000D04D8"/>
    <w:rsid w:val="000D5B81"/>
    <w:rsid w:val="00110894"/>
    <w:rsid w:val="00122C80"/>
    <w:rsid w:val="00152750"/>
    <w:rsid w:val="00156341"/>
    <w:rsid w:val="00173A75"/>
    <w:rsid w:val="00191ED4"/>
    <w:rsid w:val="00196216"/>
    <w:rsid w:val="001B2EA7"/>
    <w:rsid w:val="001D2FB3"/>
    <w:rsid w:val="001E7221"/>
    <w:rsid w:val="00207221"/>
    <w:rsid w:val="0025232E"/>
    <w:rsid w:val="002834D2"/>
    <w:rsid w:val="002975D7"/>
    <w:rsid w:val="00297EE3"/>
    <w:rsid w:val="002A4204"/>
    <w:rsid w:val="002E3B74"/>
    <w:rsid w:val="00310FD0"/>
    <w:rsid w:val="003264ED"/>
    <w:rsid w:val="0032687C"/>
    <w:rsid w:val="003816A2"/>
    <w:rsid w:val="003A5F52"/>
    <w:rsid w:val="003A6B62"/>
    <w:rsid w:val="003C027D"/>
    <w:rsid w:val="003D18EF"/>
    <w:rsid w:val="00404105"/>
    <w:rsid w:val="00417E06"/>
    <w:rsid w:val="00422033"/>
    <w:rsid w:val="00445BAB"/>
    <w:rsid w:val="004608CF"/>
    <w:rsid w:val="0048268E"/>
    <w:rsid w:val="004A503E"/>
    <w:rsid w:val="004B36D7"/>
    <w:rsid w:val="004D3A12"/>
    <w:rsid w:val="004E3DF0"/>
    <w:rsid w:val="004E773A"/>
    <w:rsid w:val="004F5BB6"/>
    <w:rsid w:val="004F7E36"/>
    <w:rsid w:val="005527A1"/>
    <w:rsid w:val="00553BCD"/>
    <w:rsid w:val="005652EB"/>
    <w:rsid w:val="0056562A"/>
    <w:rsid w:val="00597C3C"/>
    <w:rsid w:val="005B187C"/>
    <w:rsid w:val="005B48B4"/>
    <w:rsid w:val="005C0084"/>
    <w:rsid w:val="005F2969"/>
    <w:rsid w:val="006500E8"/>
    <w:rsid w:val="00651CF5"/>
    <w:rsid w:val="00655D3F"/>
    <w:rsid w:val="00672EBB"/>
    <w:rsid w:val="006A16C6"/>
    <w:rsid w:val="006B4034"/>
    <w:rsid w:val="006C6439"/>
    <w:rsid w:val="00715974"/>
    <w:rsid w:val="007224C2"/>
    <w:rsid w:val="00736886"/>
    <w:rsid w:val="00752DCB"/>
    <w:rsid w:val="00781330"/>
    <w:rsid w:val="00783D27"/>
    <w:rsid w:val="007D0042"/>
    <w:rsid w:val="007D503D"/>
    <w:rsid w:val="007E31A2"/>
    <w:rsid w:val="007E348F"/>
    <w:rsid w:val="0083218B"/>
    <w:rsid w:val="008520B5"/>
    <w:rsid w:val="00860DDD"/>
    <w:rsid w:val="00861CE8"/>
    <w:rsid w:val="00895FF0"/>
    <w:rsid w:val="008979D3"/>
    <w:rsid w:val="008D1940"/>
    <w:rsid w:val="008D6BCF"/>
    <w:rsid w:val="008F1C41"/>
    <w:rsid w:val="00914B69"/>
    <w:rsid w:val="009168E7"/>
    <w:rsid w:val="009222BD"/>
    <w:rsid w:val="009257E5"/>
    <w:rsid w:val="0094446D"/>
    <w:rsid w:val="00973D58"/>
    <w:rsid w:val="00985B2A"/>
    <w:rsid w:val="009A25BC"/>
    <w:rsid w:val="009B58C6"/>
    <w:rsid w:val="009B62C1"/>
    <w:rsid w:val="009C2A42"/>
    <w:rsid w:val="00A147F7"/>
    <w:rsid w:val="00A60D8F"/>
    <w:rsid w:val="00AC1206"/>
    <w:rsid w:val="00B01293"/>
    <w:rsid w:val="00B03A4D"/>
    <w:rsid w:val="00B22E27"/>
    <w:rsid w:val="00B40195"/>
    <w:rsid w:val="00B72482"/>
    <w:rsid w:val="00B87BAE"/>
    <w:rsid w:val="00BA7CAB"/>
    <w:rsid w:val="00BE707D"/>
    <w:rsid w:val="00C2392B"/>
    <w:rsid w:val="00C53020"/>
    <w:rsid w:val="00C55E45"/>
    <w:rsid w:val="00C578EE"/>
    <w:rsid w:val="00CE4A54"/>
    <w:rsid w:val="00D13CB1"/>
    <w:rsid w:val="00D36122"/>
    <w:rsid w:val="00DB7944"/>
    <w:rsid w:val="00DC1309"/>
    <w:rsid w:val="00DC13C1"/>
    <w:rsid w:val="00DC2BB3"/>
    <w:rsid w:val="00DE19DC"/>
    <w:rsid w:val="00DF290B"/>
    <w:rsid w:val="00E13F84"/>
    <w:rsid w:val="00E34AE3"/>
    <w:rsid w:val="00E5184A"/>
    <w:rsid w:val="00E65F8F"/>
    <w:rsid w:val="00E671D6"/>
    <w:rsid w:val="00E84985"/>
    <w:rsid w:val="00E95B4E"/>
    <w:rsid w:val="00E97653"/>
    <w:rsid w:val="00EA0D52"/>
    <w:rsid w:val="00EC56E7"/>
    <w:rsid w:val="00EE0FBC"/>
    <w:rsid w:val="00EF13F3"/>
    <w:rsid w:val="00F0183A"/>
    <w:rsid w:val="00F560BC"/>
    <w:rsid w:val="00FB3A8A"/>
    <w:rsid w:val="00FE2333"/>
    <w:rsid w:val="00FF74E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AD537E-2A8E-4207-9F4F-D8830386D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562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54D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CE4A5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E4A54"/>
    <w:rPr>
      <w:sz w:val="20"/>
      <w:szCs w:val="20"/>
    </w:rPr>
  </w:style>
  <w:style w:type="character" w:styleId="Refdenotaalpie">
    <w:name w:val="footnote reference"/>
    <w:basedOn w:val="Fuentedeprrafopredeter"/>
    <w:uiPriority w:val="99"/>
    <w:semiHidden/>
    <w:unhideWhenUsed/>
    <w:rsid w:val="00CE4A54"/>
    <w:rPr>
      <w:vertAlign w:val="superscript"/>
    </w:rPr>
  </w:style>
  <w:style w:type="paragraph" w:styleId="Encabezado">
    <w:name w:val="header"/>
    <w:basedOn w:val="Normal"/>
    <w:link w:val="EncabezadoCar"/>
    <w:uiPriority w:val="99"/>
    <w:semiHidden/>
    <w:unhideWhenUsed/>
    <w:rsid w:val="00122C8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122C80"/>
  </w:style>
  <w:style w:type="paragraph" w:styleId="Piedepgina">
    <w:name w:val="footer"/>
    <w:basedOn w:val="Normal"/>
    <w:link w:val="PiedepginaCar"/>
    <w:uiPriority w:val="99"/>
    <w:semiHidden/>
    <w:unhideWhenUsed/>
    <w:rsid w:val="00122C8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122C80"/>
  </w:style>
  <w:style w:type="paragraph" w:styleId="Textonotaalfinal">
    <w:name w:val="endnote text"/>
    <w:basedOn w:val="Normal"/>
    <w:link w:val="TextonotaalfinalCar"/>
    <w:uiPriority w:val="99"/>
    <w:semiHidden/>
    <w:unhideWhenUsed/>
    <w:rsid w:val="00122C80"/>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122C80"/>
    <w:rPr>
      <w:sz w:val="20"/>
      <w:szCs w:val="20"/>
    </w:rPr>
  </w:style>
  <w:style w:type="character" w:styleId="Refdenotaalfinal">
    <w:name w:val="endnote reference"/>
    <w:basedOn w:val="Fuentedeprrafopredeter"/>
    <w:uiPriority w:val="99"/>
    <w:semiHidden/>
    <w:unhideWhenUsed/>
    <w:rsid w:val="00122C80"/>
    <w:rPr>
      <w:vertAlign w:val="superscript"/>
    </w:rPr>
  </w:style>
  <w:style w:type="paragraph" w:styleId="Prrafodelista">
    <w:name w:val="List Paragraph"/>
    <w:basedOn w:val="Normal"/>
    <w:uiPriority w:val="34"/>
    <w:qFormat/>
    <w:rsid w:val="002E3B74"/>
    <w:pPr>
      <w:ind w:left="720"/>
      <w:contextualSpacing/>
    </w:pPr>
  </w:style>
  <w:style w:type="character" w:styleId="Refdecomentario">
    <w:name w:val="annotation reference"/>
    <w:basedOn w:val="Fuentedeprrafopredeter"/>
    <w:uiPriority w:val="99"/>
    <w:semiHidden/>
    <w:unhideWhenUsed/>
    <w:rsid w:val="0094446D"/>
    <w:rPr>
      <w:sz w:val="16"/>
      <w:szCs w:val="16"/>
    </w:rPr>
  </w:style>
  <w:style w:type="paragraph" w:styleId="Textocomentario">
    <w:name w:val="annotation text"/>
    <w:basedOn w:val="Normal"/>
    <w:link w:val="TextocomentarioCar"/>
    <w:uiPriority w:val="99"/>
    <w:semiHidden/>
    <w:unhideWhenUsed/>
    <w:rsid w:val="0094446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4446D"/>
    <w:rPr>
      <w:sz w:val="20"/>
      <w:szCs w:val="20"/>
    </w:rPr>
  </w:style>
  <w:style w:type="paragraph" w:styleId="Asuntodelcomentario">
    <w:name w:val="annotation subject"/>
    <w:basedOn w:val="Textocomentario"/>
    <w:next w:val="Textocomentario"/>
    <w:link w:val="AsuntodelcomentarioCar"/>
    <w:uiPriority w:val="99"/>
    <w:semiHidden/>
    <w:unhideWhenUsed/>
    <w:rsid w:val="0094446D"/>
    <w:rPr>
      <w:b/>
      <w:bCs/>
    </w:rPr>
  </w:style>
  <w:style w:type="character" w:customStyle="1" w:styleId="AsuntodelcomentarioCar">
    <w:name w:val="Asunto del comentario Car"/>
    <w:basedOn w:val="TextocomentarioCar"/>
    <w:link w:val="Asuntodelcomentario"/>
    <w:uiPriority w:val="99"/>
    <w:semiHidden/>
    <w:rsid w:val="0094446D"/>
    <w:rPr>
      <w:b/>
      <w:bCs/>
      <w:sz w:val="20"/>
      <w:szCs w:val="20"/>
    </w:rPr>
  </w:style>
  <w:style w:type="paragraph" w:styleId="Textodeglobo">
    <w:name w:val="Balloon Text"/>
    <w:basedOn w:val="Normal"/>
    <w:link w:val="TextodegloboCar"/>
    <w:uiPriority w:val="99"/>
    <w:semiHidden/>
    <w:unhideWhenUsed/>
    <w:rsid w:val="0094446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4446D"/>
    <w:rPr>
      <w:rFonts w:ascii="Tahoma" w:hAnsi="Tahoma" w:cs="Tahoma"/>
      <w:sz w:val="16"/>
      <w:szCs w:val="16"/>
    </w:rPr>
  </w:style>
  <w:style w:type="paragraph" w:styleId="Revisin">
    <w:name w:val="Revision"/>
    <w:hidden/>
    <w:uiPriority w:val="99"/>
    <w:semiHidden/>
    <w:rsid w:val="00B87BA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E59ACE-F348-4BF3-896B-239C3D85E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5</Pages>
  <Words>499</Words>
  <Characters>2746</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SFE-MAG</Company>
  <LinksUpToDate>false</LinksUpToDate>
  <CharactersWithSpaces>3239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lrojas</dc:creator>
  <cp:lastModifiedBy>Elidier Vargas Castro</cp:lastModifiedBy>
  <cp:revision>17</cp:revision>
  <dcterms:created xsi:type="dcterms:W3CDTF">2014-12-11T17:47:00Z</dcterms:created>
  <dcterms:modified xsi:type="dcterms:W3CDTF">2017-06-08T17:30:00Z</dcterms:modified>
</cp:coreProperties>
</file>